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lang w:eastAsia="zh-CN"/>
        </w:rPr>
      </w:pPr>
      <w:bookmarkStart w:id="18" w:name="_GoBack"/>
      <w:bookmarkEnd w:id="18"/>
      <w:r>
        <w:rPr>
          <w:rFonts w:hint="eastAsia" w:ascii="黑体" w:hAnsi="黑体" w:eastAsia="黑体" w:cs="黑体"/>
          <w:b/>
          <w:color w:val="000000"/>
          <w:sz w:val="44"/>
          <w:lang w:eastAsia="zh-CN"/>
        </w:rPr>
        <w:t>中国共产党定兴县纪律检查委员会</w:t>
      </w:r>
    </w:p>
    <w:p>
      <w:pPr>
        <w:jc w:val="center"/>
        <w:outlineLvl w:val="0"/>
      </w:pPr>
      <w:r>
        <w:rPr>
          <w:rFonts w:hint="eastAsia" w:ascii="黑体" w:hAnsi="黑体" w:eastAsia="黑体" w:cs="黑体"/>
          <w:b/>
          <w:color w:val="000000"/>
          <w:sz w:val="44"/>
          <w:lang w:eastAsia="zh-CN"/>
        </w:rPr>
        <w:t xml:space="preserve"> </w:t>
      </w:r>
      <w:r>
        <w:rPr>
          <w:rFonts w:ascii="黑体" w:hAnsi="黑体" w:eastAsia="黑体" w:cs="黑体"/>
          <w:b/>
          <w:color w:val="000000"/>
          <w:sz w:val="44"/>
        </w:rPr>
        <w:t>2022年部门预算信息公开目录</w:t>
      </w:r>
    </w:p>
    <w:p>
      <w:pPr>
        <w:jc w:val="center"/>
      </w:pP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3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32</w:t>
      </w:r>
      <w:r>
        <w:fldChar w:fldCharType="end"/>
      </w:r>
      <w:r>
        <w:fldChar w:fldCharType="end"/>
      </w:r>
    </w:p>
    <w:p>
      <w:pPr>
        <w:pStyle w:val="3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3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34</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hint="eastAsia" w:eastAsiaTheme="minorEastAsia"/>
          <w:lang w:eastAsia="zh-CN"/>
        </w:r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222中共定兴县纪律检查委员会</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1364.41</w:t>
            </w:r>
          </w:p>
        </w:tc>
        <w:tc>
          <w:tcPr>
            <w:tcW w:w="4535" w:type="dxa"/>
            <w:vAlign w:val="center"/>
          </w:tcPr>
          <w:p>
            <w:pPr>
              <w:pStyle w:val="13"/>
            </w:pPr>
            <w:r>
              <w:t>一、一般公共服务支出</w:t>
            </w:r>
          </w:p>
        </w:tc>
        <w:tc>
          <w:tcPr>
            <w:tcW w:w="2126" w:type="dxa"/>
            <w:vAlign w:val="center"/>
          </w:tcPr>
          <w:p>
            <w:pPr>
              <w:pStyle w:val="12"/>
            </w:pPr>
            <w:r>
              <w:t>1204.39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74.69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45.43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1364.41</w:t>
            </w:r>
          </w:p>
        </w:tc>
        <w:tc>
          <w:tcPr>
            <w:tcW w:w="4535" w:type="dxa"/>
            <w:vAlign w:val="center"/>
          </w:tcPr>
          <w:p>
            <w:pPr>
              <w:pStyle w:val="15"/>
            </w:pPr>
            <w:r>
              <w:t>本年支出合计</w:t>
            </w:r>
          </w:p>
        </w:tc>
        <w:tc>
          <w:tcPr>
            <w:tcW w:w="2126" w:type="dxa"/>
            <w:vAlign w:val="center"/>
          </w:tcPr>
          <w:p>
            <w:pPr>
              <w:pStyle w:val="16"/>
            </w:pPr>
            <w:r>
              <w:t>1364.41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1364.41</w:t>
            </w:r>
          </w:p>
        </w:tc>
        <w:tc>
          <w:tcPr>
            <w:tcW w:w="4535" w:type="dxa"/>
            <w:vAlign w:val="center"/>
          </w:tcPr>
          <w:p>
            <w:pPr>
              <w:pStyle w:val="15"/>
            </w:pPr>
            <w:r>
              <w:t>支出总计</w:t>
            </w:r>
          </w:p>
        </w:tc>
        <w:tc>
          <w:tcPr>
            <w:tcW w:w="2126" w:type="dxa"/>
            <w:vAlign w:val="center"/>
          </w:tcPr>
          <w:p>
            <w:pPr>
              <w:pStyle w:val="16"/>
            </w:pPr>
            <w:r>
              <w:t>1364.41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222中共定兴县纪律检查委员会</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1364.41</w:t>
            </w:r>
          </w:p>
        </w:tc>
        <w:tc>
          <w:tcPr>
            <w:tcW w:w="1134" w:type="dxa"/>
            <w:vAlign w:val="center"/>
          </w:tcPr>
          <w:p>
            <w:pPr>
              <w:pStyle w:val="16"/>
            </w:pPr>
            <w:r>
              <w:t>1364.41</w:t>
            </w:r>
          </w:p>
        </w:tc>
        <w:tc>
          <w:tcPr>
            <w:tcW w:w="1134" w:type="dxa"/>
            <w:vAlign w:val="center"/>
          </w:tcPr>
          <w:p>
            <w:pPr>
              <w:pStyle w:val="16"/>
            </w:pPr>
            <w:r>
              <w:t>1364.41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1204.39</w:t>
            </w:r>
          </w:p>
        </w:tc>
        <w:tc>
          <w:tcPr>
            <w:tcW w:w="1134" w:type="dxa"/>
            <w:vAlign w:val="center"/>
          </w:tcPr>
          <w:p>
            <w:pPr>
              <w:pStyle w:val="12"/>
            </w:pPr>
            <w:r>
              <w:t>1204.39</w:t>
            </w:r>
          </w:p>
        </w:tc>
        <w:tc>
          <w:tcPr>
            <w:tcW w:w="1134" w:type="dxa"/>
            <w:vAlign w:val="center"/>
          </w:tcPr>
          <w:p>
            <w:pPr>
              <w:pStyle w:val="12"/>
            </w:pPr>
            <w:r>
              <w:t>1204.39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20111</w:t>
            </w:r>
          </w:p>
        </w:tc>
        <w:tc>
          <w:tcPr>
            <w:tcW w:w="1559" w:type="dxa"/>
            <w:vAlign w:val="center"/>
          </w:tcPr>
          <w:p>
            <w:pPr>
              <w:pStyle w:val="13"/>
            </w:pPr>
            <w:r>
              <w:t>纪检监察事务</w:t>
            </w:r>
          </w:p>
        </w:tc>
        <w:tc>
          <w:tcPr>
            <w:tcW w:w="1134" w:type="dxa"/>
            <w:vAlign w:val="center"/>
          </w:tcPr>
          <w:p>
            <w:pPr>
              <w:pStyle w:val="12"/>
            </w:pPr>
            <w:r>
              <w:t>1204.39</w:t>
            </w:r>
          </w:p>
        </w:tc>
        <w:tc>
          <w:tcPr>
            <w:tcW w:w="1134" w:type="dxa"/>
            <w:vAlign w:val="center"/>
          </w:tcPr>
          <w:p>
            <w:pPr>
              <w:pStyle w:val="12"/>
            </w:pPr>
            <w:r>
              <w:t>1204.39</w:t>
            </w:r>
          </w:p>
        </w:tc>
        <w:tc>
          <w:tcPr>
            <w:tcW w:w="1134" w:type="dxa"/>
            <w:vAlign w:val="center"/>
          </w:tcPr>
          <w:p>
            <w:pPr>
              <w:pStyle w:val="12"/>
            </w:pPr>
            <w:r>
              <w:t>1204.39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2011101</w:t>
            </w:r>
          </w:p>
        </w:tc>
        <w:tc>
          <w:tcPr>
            <w:tcW w:w="1559" w:type="dxa"/>
            <w:vAlign w:val="center"/>
          </w:tcPr>
          <w:p>
            <w:pPr>
              <w:pStyle w:val="13"/>
            </w:pPr>
            <w:r>
              <w:t>行政运行</w:t>
            </w:r>
          </w:p>
        </w:tc>
        <w:tc>
          <w:tcPr>
            <w:tcW w:w="1134" w:type="dxa"/>
            <w:vAlign w:val="center"/>
          </w:tcPr>
          <w:p>
            <w:pPr>
              <w:pStyle w:val="12"/>
            </w:pPr>
            <w:r>
              <w:t>794.97</w:t>
            </w:r>
          </w:p>
        </w:tc>
        <w:tc>
          <w:tcPr>
            <w:tcW w:w="1134" w:type="dxa"/>
            <w:vAlign w:val="center"/>
          </w:tcPr>
          <w:p>
            <w:pPr>
              <w:pStyle w:val="12"/>
            </w:pPr>
            <w:r>
              <w:t>794.97</w:t>
            </w:r>
          </w:p>
        </w:tc>
        <w:tc>
          <w:tcPr>
            <w:tcW w:w="1134" w:type="dxa"/>
            <w:vAlign w:val="center"/>
          </w:tcPr>
          <w:p>
            <w:pPr>
              <w:pStyle w:val="12"/>
            </w:pPr>
            <w:r>
              <w:t>794.97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2011102</w:t>
            </w:r>
          </w:p>
        </w:tc>
        <w:tc>
          <w:tcPr>
            <w:tcW w:w="1559" w:type="dxa"/>
            <w:vAlign w:val="center"/>
          </w:tcPr>
          <w:p>
            <w:pPr>
              <w:pStyle w:val="13"/>
            </w:pPr>
            <w:r>
              <w:t>一般行政管理事务</w:t>
            </w:r>
          </w:p>
        </w:tc>
        <w:tc>
          <w:tcPr>
            <w:tcW w:w="1134" w:type="dxa"/>
            <w:vAlign w:val="center"/>
          </w:tcPr>
          <w:p>
            <w:pPr>
              <w:pStyle w:val="12"/>
            </w:pPr>
            <w:r>
              <w:t>289.42</w:t>
            </w:r>
          </w:p>
        </w:tc>
        <w:tc>
          <w:tcPr>
            <w:tcW w:w="1134" w:type="dxa"/>
            <w:vAlign w:val="center"/>
          </w:tcPr>
          <w:p>
            <w:pPr>
              <w:pStyle w:val="12"/>
            </w:pPr>
            <w:r>
              <w:t>289.42</w:t>
            </w:r>
          </w:p>
        </w:tc>
        <w:tc>
          <w:tcPr>
            <w:tcW w:w="1134" w:type="dxa"/>
            <w:vAlign w:val="center"/>
          </w:tcPr>
          <w:p>
            <w:pPr>
              <w:pStyle w:val="12"/>
            </w:pPr>
            <w:r>
              <w:t>289.42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2011104</w:t>
            </w:r>
          </w:p>
        </w:tc>
        <w:tc>
          <w:tcPr>
            <w:tcW w:w="1559" w:type="dxa"/>
            <w:vAlign w:val="center"/>
          </w:tcPr>
          <w:p>
            <w:pPr>
              <w:pStyle w:val="13"/>
            </w:pPr>
            <w:r>
              <w:t>大案要案查处</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r>
              <w:t>120.00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74.69</w:t>
            </w:r>
          </w:p>
        </w:tc>
        <w:tc>
          <w:tcPr>
            <w:tcW w:w="1134" w:type="dxa"/>
            <w:vAlign w:val="center"/>
          </w:tcPr>
          <w:p>
            <w:pPr>
              <w:pStyle w:val="12"/>
            </w:pPr>
            <w:r>
              <w:t>74.69</w:t>
            </w:r>
          </w:p>
        </w:tc>
        <w:tc>
          <w:tcPr>
            <w:tcW w:w="1134" w:type="dxa"/>
            <w:vAlign w:val="center"/>
          </w:tcPr>
          <w:p>
            <w:pPr>
              <w:pStyle w:val="12"/>
            </w:pPr>
            <w:r>
              <w:t>74.69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74.69</w:t>
            </w:r>
          </w:p>
        </w:tc>
        <w:tc>
          <w:tcPr>
            <w:tcW w:w="1134" w:type="dxa"/>
            <w:vAlign w:val="center"/>
          </w:tcPr>
          <w:p>
            <w:pPr>
              <w:pStyle w:val="12"/>
            </w:pPr>
            <w:r>
              <w:t>74.69</w:t>
            </w:r>
          </w:p>
        </w:tc>
        <w:tc>
          <w:tcPr>
            <w:tcW w:w="1134" w:type="dxa"/>
            <w:vAlign w:val="center"/>
          </w:tcPr>
          <w:p>
            <w:pPr>
              <w:pStyle w:val="12"/>
            </w:pPr>
            <w:r>
              <w:t>74.69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2.01</w:t>
            </w:r>
          </w:p>
        </w:tc>
        <w:tc>
          <w:tcPr>
            <w:tcW w:w="1134" w:type="dxa"/>
            <w:vAlign w:val="center"/>
          </w:tcPr>
          <w:p>
            <w:pPr>
              <w:pStyle w:val="12"/>
            </w:pPr>
            <w:r>
              <w:t>2.01</w:t>
            </w:r>
          </w:p>
        </w:tc>
        <w:tc>
          <w:tcPr>
            <w:tcW w:w="1134" w:type="dxa"/>
            <w:vAlign w:val="center"/>
          </w:tcPr>
          <w:p>
            <w:pPr>
              <w:pStyle w:val="12"/>
            </w:pPr>
            <w:r>
              <w:t>2.01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72.68</w:t>
            </w:r>
          </w:p>
        </w:tc>
        <w:tc>
          <w:tcPr>
            <w:tcW w:w="1134" w:type="dxa"/>
            <w:vAlign w:val="center"/>
          </w:tcPr>
          <w:p>
            <w:pPr>
              <w:pStyle w:val="12"/>
            </w:pPr>
            <w:r>
              <w:t>72.68</w:t>
            </w:r>
          </w:p>
        </w:tc>
        <w:tc>
          <w:tcPr>
            <w:tcW w:w="1134" w:type="dxa"/>
            <w:vAlign w:val="center"/>
          </w:tcPr>
          <w:p>
            <w:pPr>
              <w:pStyle w:val="12"/>
            </w:pPr>
            <w:r>
              <w:t>72.68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39.90</w:t>
            </w:r>
          </w:p>
        </w:tc>
        <w:tc>
          <w:tcPr>
            <w:tcW w:w="1134" w:type="dxa"/>
            <w:vAlign w:val="center"/>
          </w:tcPr>
          <w:p>
            <w:pPr>
              <w:pStyle w:val="12"/>
            </w:pPr>
            <w:r>
              <w:t>39.90</w:t>
            </w:r>
          </w:p>
        </w:tc>
        <w:tc>
          <w:tcPr>
            <w:tcW w:w="1134" w:type="dxa"/>
            <w:vAlign w:val="center"/>
          </w:tcPr>
          <w:p>
            <w:pPr>
              <w:pStyle w:val="12"/>
            </w:pPr>
            <w:r>
              <w:t>39.90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39.90</w:t>
            </w:r>
          </w:p>
        </w:tc>
        <w:tc>
          <w:tcPr>
            <w:tcW w:w="1134" w:type="dxa"/>
            <w:vAlign w:val="center"/>
          </w:tcPr>
          <w:p>
            <w:pPr>
              <w:pStyle w:val="12"/>
            </w:pPr>
            <w:r>
              <w:t>39.90</w:t>
            </w:r>
          </w:p>
        </w:tc>
        <w:tc>
          <w:tcPr>
            <w:tcW w:w="1134" w:type="dxa"/>
            <w:vAlign w:val="center"/>
          </w:tcPr>
          <w:p>
            <w:pPr>
              <w:pStyle w:val="12"/>
            </w:pPr>
            <w:r>
              <w:t>39.90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29.07</w:t>
            </w:r>
          </w:p>
        </w:tc>
        <w:tc>
          <w:tcPr>
            <w:tcW w:w="1134" w:type="dxa"/>
            <w:vAlign w:val="center"/>
          </w:tcPr>
          <w:p>
            <w:pPr>
              <w:pStyle w:val="12"/>
            </w:pPr>
            <w:r>
              <w:t>29.07</w:t>
            </w:r>
          </w:p>
        </w:tc>
        <w:tc>
          <w:tcPr>
            <w:tcW w:w="1134" w:type="dxa"/>
            <w:vAlign w:val="center"/>
          </w:tcPr>
          <w:p>
            <w:pPr>
              <w:pStyle w:val="12"/>
            </w:pPr>
            <w:r>
              <w:t>29.07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10.83</w:t>
            </w:r>
          </w:p>
        </w:tc>
        <w:tc>
          <w:tcPr>
            <w:tcW w:w="1134" w:type="dxa"/>
            <w:vAlign w:val="center"/>
          </w:tcPr>
          <w:p>
            <w:pPr>
              <w:pStyle w:val="12"/>
            </w:pPr>
            <w:r>
              <w:t>10.83</w:t>
            </w:r>
          </w:p>
        </w:tc>
        <w:tc>
          <w:tcPr>
            <w:tcW w:w="1134" w:type="dxa"/>
            <w:vAlign w:val="center"/>
          </w:tcPr>
          <w:p>
            <w:pPr>
              <w:pStyle w:val="12"/>
            </w:pPr>
            <w:r>
              <w:t>10.83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45.43</w:t>
            </w:r>
          </w:p>
        </w:tc>
        <w:tc>
          <w:tcPr>
            <w:tcW w:w="1134" w:type="dxa"/>
            <w:vAlign w:val="center"/>
          </w:tcPr>
          <w:p>
            <w:pPr>
              <w:pStyle w:val="12"/>
            </w:pPr>
            <w:r>
              <w:t>45.43</w:t>
            </w:r>
          </w:p>
        </w:tc>
        <w:tc>
          <w:tcPr>
            <w:tcW w:w="1134" w:type="dxa"/>
            <w:vAlign w:val="center"/>
          </w:tcPr>
          <w:p>
            <w:pPr>
              <w:pStyle w:val="12"/>
            </w:pPr>
            <w:r>
              <w:t>45.43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45.43</w:t>
            </w:r>
          </w:p>
        </w:tc>
        <w:tc>
          <w:tcPr>
            <w:tcW w:w="1134" w:type="dxa"/>
            <w:vAlign w:val="center"/>
          </w:tcPr>
          <w:p>
            <w:pPr>
              <w:pStyle w:val="12"/>
            </w:pPr>
            <w:r>
              <w:t>45.43</w:t>
            </w:r>
          </w:p>
        </w:tc>
        <w:tc>
          <w:tcPr>
            <w:tcW w:w="1134" w:type="dxa"/>
            <w:vAlign w:val="center"/>
          </w:tcPr>
          <w:p>
            <w:pPr>
              <w:pStyle w:val="12"/>
            </w:pPr>
            <w:r>
              <w:t>45.43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45.43</w:t>
            </w:r>
          </w:p>
        </w:tc>
        <w:tc>
          <w:tcPr>
            <w:tcW w:w="1134" w:type="dxa"/>
            <w:vAlign w:val="center"/>
          </w:tcPr>
          <w:p>
            <w:pPr>
              <w:pStyle w:val="12"/>
            </w:pPr>
            <w:r>
              <w:t>45.43</w:t>
            </w:r>
          </w:p>
        </w:tc>
        <w:tc>
          <w:tcPr>
            <w:tcW w:w="1134" w:type="dxa"/>
            <w:vAlign w:val="center"/>
          </w:tcPr>
          <w:p>
            <w:pPr>
              <w:pStyle w:val="12"/>
            </w:pPr>
            <w:r>
              <w:t>45.43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222中共定兴县纪律检查委员会</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1364.41</w:t>
            </w:r>
          </w:p>
        </w:tc>
        <w:tc>
          <w:tcPr>
            <w:tcW w:w="1361" w:type="dxa"/>
            <w:vAlign w:val="center"/>
          </w:tcPr>
          <w:p>
            <w:pPr>
              <w:pStyle w:val="16"/>
            </w:pPr>
            <w:r>
              <w:t>954.99</w:t>
            </w:r>
          </w:p>
        </w:tc>
        <w:tc>
          <w:tcPr>
            <w:tcW w:w="1361" w:type="dxa"/>
            <w:vAlign w:val="center"/>
          </w:tcPr>
          <w:p>
            <w:pPr>
              <w:pStyle w:val="16"/>
            </w:pPr>
            <w:r>
              <w:t>409.42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1204.39</w:t>
            </w:r>
          </w:p>
        </w:tc>
        <w:tc>
          <w:tcPr>
            <w:tcW w:w="1361" w:type="dxa"/>
            <w:vAlign w:val="center"/>
          </w:tcPr>
          <w:p>
            <w:pPr>
              <w:pStyle w:val="12"/>
            </w:pPr>
            <w:r>
              <w:t>794.97</w:t>
            </w:r>
          </w:p>
        </w:tc>
        <w:tc>
          <w:tcPr>
            <w:tcW w:w="1361" w:type="dxa"/>
            <w:vAlign w:val="center"/>
          </w:tcPr>
          <w:p>
            <w:pPr>
              <w:pStyle w:val="12"/>
            </w:pPr>
            <w:r>
              <w:t>409.42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20111</w:t>
            </w:r>
          </w:p>
        </w:tc>
        <w:tc>
          <w:tcPr>
            <w:tcW w:w="4535" w:type="dxa"/>
            <w:vAlign w:val="center"/>
          </w:tcPr>
          <w:p>
            <w:pPr>
              <w:pStyle w:val="13"/>
            </w:pPr>
            <w:r>
              <w:t>纪检监察事务</w:t>
            </w:r>
          </w:p>
        </w:tc>
        <w:tc>
          <w:tcPr>
            <w:tcW w:w="1361" w:type="dxa"/>
            <w:vAlign w:val="center"/>
          </w:tcPr>
          <w:p>
            <w:pPr>
              <w:pStyle w:val="12"/>
            </w:pPr>
            <w:r>
              <w:t>1204.39</w:t>
            </w:r>
          </w:p>
        </w:tc>
        <w:tc>
          <w:tcPr>
            <w:tcW w:w="1361" w:type="dxa"/>
            <w:vAlign w:val="center"/>
          </w:tcPr>
          <w:p>
            <w:pPr>
              <w:pStyle w:val="12"/>
            </w:pPr>
            <w:r>
              <w:t>794.97</w:t>
            </w:r>
          </w:p>
        </w:tc>
        <w:tc>
          <w:tcPr>
            <w:tcW w:w="1361" w:type="dxa"/>
            <w:vAlign w:val="center"/>
          </w:tcPr>
          <w:p>
            <w:pPr>
              <w:pStyle w:val="12"/>
            </w:pPr>
            <w:r>
              <w:t>409.42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2011101</w:t>
            </w:r>
          </w:p>
        </w:tc>
        <w:tc>
          <w:tcPr>
            <w:tcW w:w="4535" w:type="dxa"/>
            <w:vAlign w:val="center"/>
          </w:tcPr>
          <w:p>
            <w:pPr>
              <w:pStyle w:val="13"/>
            </w:pPr>
            <w:r>
              <w:t>行政运行</w:t>
            </w:r>
          </w:p>
        </w:tc>
        <w:tc>
          <w:tcPr>
            <w:tcW w:w="1361" w:type="dxa"/>
            <w:vAlign w:val="center"/>
          </w:tcPr>
          <w:p>
            <w:pPr>
              <w:pStyle w:val="12"/>
            </w:pPr>
            <w:r>
              <w:t>794.97</w:t>
            </w:r>
          </w:p>
        </w:tc>
        <w:tc>
          <w:tcPr>
            <w:tcW w:w="1361" w:type="dxa"/>
            <w:vAlign w:val="center"/>
          </w:tcPr>
          <w:p>
            <w:pPr>
              <w:pStyle w:val="12"/>
            </w:pPr>
            <w:r>
              <w:t>794.97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2011102</w:t>
            </w:r>
          </w:p>
        </w:tc>
        <w:tc>
          <w:tcPr>
            <w:tcW w:w="4535" w:type="dxa"/>
            <w:vAlign w:val="center"/>
          </w:tcPr>
          <w:p>
            <w:pPr>
              <w:pStyle w:val="13"/>
            </w:pPr>
            <w:r>
              <w:t>一般行政管理事务</w:t>
            </w:r>
          </w:p>
        </w:tc>
        <w:tc>
          <w:tcPr>
            <w:tcW w:w="1361" w:type="dxa"/>
            <w:vAlign w:val="center"/>
          </w:tcPr>
          <w:p>
            <w:pPr>
              <w:pStyle w:val="12"/>
            </w:pPr>
            <w:r>
              <w:t>289.42</w:t>
            </w:r>
          </w:p>
        </w:tc>
        <w:tc>
          <w:tcPr>
            <w:tcW w:w="1361" w:type="dxa"/>
            <w:vAlign w:val="center"/>
          </w:tcPr>
          <w:p>
            <w:pPr>
              <w:pStyle w:val="12"/>
            </w:pPr>
          </w:p>
        </w:tc>
        <w:tc>
          <w:tcPr>
            <w:tcW w:w="1361" w:type="dxa"/>
            <w:vAlign w:val="center"/>
          </w:tcPr>
          <w:p>
            <w:pPr>
              <w:pStyle w:val="12"/>
            </w:pPr>
            <w:r>
              <w:t>289.42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2011104</w:t>
            </w:r>
          </w:p>
        </w:tc>
        <w:tc>
          <w:tcPr>
            <w:tcW w:w="4535" w:type="dxa"/>
            <w:vAlign w:val="center"/>
          </w:tcPr>
          <w:p>
            <w:pPr>
              <w:pStyle w:val="13"/>
            </w:pPr>
            <w:r>
              <w:t>大案要案查处</w:t>
            </w: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r>
              <w:t>120.00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74.69</w:t>
            </w:r>
          </w:p>
        </w:tc>
        <w:tc>
          <w:tcPr>
            <w:tcW w:w="1361" w:type="dxa"/>
            <w:vAlign w:val="center"/>
          </w:tcPr>
          <w:p>
            <w:pPr>
              <w:pStyle w:val="12"/>
            </w:pPr>
            <w:r>
              <w:t>74.69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74.69</w:t>
            </w:r>
          </w:p>
        </w:tc>
        <w:tc>
          <w:tcPr>
            <w:tcW w:w="1361" w:type="dxa"/>
            <w:vAlign w:val="center"/>
          </w:tcPr>
          <w:p>
            <w:pPr>
              <w:pStyle w:val="12"/>
            </w:pPr>
            <w:r>
              <w:t>74.69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2.01</w:t>
            </w:r>
          </w:p>
        </w:tc>
        <w:tc>
          <w:tcPr>
            <w:tcW w:w="1361" w:type="dxa"/>
            <w:vAlign w:val="center"/>
          </w:tcPr>
          <w:p>
            <w:pPr>
              <w:pStyle w:val="12"/>
            </w:pPr>
            <w:r>
              <w:t>2.01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72.68</w:t>
            </w:r>
          </w:p>
        </w:tc>
        <w:tc>
          <w:tcPr>
            <w:tcW w:w="1361" w:type="dxa"/>
            <w:vAlign w:val="center"/>
          </w:tcPr>
          <w:p>
            <w:pPr>
              <w:pStyle w:val="12"/>
            </w:pPr>
            <w:r>
              <w:t>72.68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39.90</w:t>
            </w:r>
          </w:p>
        </w:tc>
        <w:tc>
          <w:tcPr>
            <w:tcW w:w="1361" w:type="dxa"/>
            <w:vAlign w:val="center"/>
          </w:tcPr>
          <w:p>
            <w:pPr>
              <w:pStyle w:val="12"/>
            </w:pPr>
            <w:r>
              <w:t>39.90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39.90</w:t>
            </w:r>
          </w:p>
        </w:tc>
        <w:tc>
          <w:tcPr>
            <w:tcW w:w="1361" w:type="dxa"/>
            <w:vAlign w:val="center"/>
          </w:tcPr>
          <w:p>
            <w:pPr>
              <w:pStyle w:val="12"/>
            </w:pPr>
            <w:r>
              <w:t>39.90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29.07</w:t>
            </w:r>
          </w:p>
        </w:tc>
        <w:tc>
          <w:tcPr>
            <w:tcW w:w="1361" w:type="dxa"/>
            <w:vAlign w:val="center"/>
          </w:tcPr>
          <w:p>
            <w:pPr>
              <w:pStyle w:val="12"/>
            </w:pPr>
            <w:r>
              <w:t>29.07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10.83</w:t>
            </w:r>
          </w:p>
        </w:tc>
        <w:tc>
          <w:tcPr>
            <w:tcW w:w="1361" w:type="dxa"/>
            <w:vAlign w:val="center"/>
          </w:tcPr>
          <w:p>
            <w:pPr>
              <w:pStyle w:val="12"/>
            </w:pPr>
            <w:r>
              <w:t>10.83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45.43</w:t>
            </w:r>
          </w:p>
        </w:tc>
        <w:tc>
          <w:tcPr>
            <w:tcW w:w="1361" w:type="dxa"/>
            <w:vAlign w:val="center"/>
          </w:tcPr>
          <w:p>
            <w:pPr>
              <w:pStyle w:val="12"/>
            </w:pPr>
            <w:r>
              <w:t>45.43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45.43</w:t>
            </w:r>
          </w:p>
        </w:tc>
        <w:tc>
          <w:tcPr>
            <w:tcW w:w="1361" w:type="dxa"/>
            <w:vAlign w:val="center"/>
          </w:tcPr>
          <w:p>
            <w:pPr>
              <w:pStyle w:val="12"/>
            </w:pPr>
            <w:r>
              <w:t>45.43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45.43</w:t>
            </w:r>
          </w:p>
        </w:tc>
        <w:tc>
          <w:tcPr>
            <w:tcW w:w="1361" w:type="dxa"/>
            <w:vAlign w:val="center"/>
          </w:tcPr>
          <w:p>
            <w:pPr>
              <w:pStyle w:val="12"/>
            </w:pPr>
            <w:r>
              <w:t>45.43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222中共定兴县纪律检查委员会</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1364.41</w:t>
            </w:r>
          </w:p>
        </w:tc>
        <w:tc>
          <w:tcPr>
            <w:tcW w:w="3402" w:type="dxa"/>
            <w:vAlign w:val="center"/>
          </w:tcPr>
          <w:p>
            <w:pPr>
              <w:pStyle w:val="13"/>
            </w:pPr>
            <w:r>
              <w:t>一、一般公共服务支出</w:t>
            </w:r>
          </w:p>
        </w:tc>
        <w:tc>
          <w:tcPr>
            <w:tcW w:w="1474" w:type="dxa"/>
            <w:vAlign w:val="center"/>
          </w:tcPr>
          <w:p>
            <w:pPr>
              <w:pStyle w:val="12"/>
            </w:pPr>
            <w:r>
              <w:t>1204.39</w:t>
            </w:r>
          </w:p>
        </w:tc>
        <w:tc>
          <w:tcPr>
            <w:tcW w:w="1474" w:type="dxa"/>
            <w:vAlign w:val="center"/>
          </w:tcPr>
          <w:p>
            <w:pPr>
              <w:pStyle w:val="12"/>
            </w:pPr>
            <w:r>
              <w:t>1204.39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74.69</w:t>
            </w:r>
          </w:p>
        </w:tc>
        <w:tc>
          <w:tcPr>
            <w:tcW w:w="1474" w:type="dxa"/>
            <w:vAlign w:val="center"/>
          </w:tcPr>
          <w:p>
            <w:pPr>
              <w:pStyle w:val="12"/>
            </w:pPr>
            <w:r>
              <w:t>74.69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39.90</w:t>
            </w:r>
          </w:p>
        </w:tc>
        <w:tc>
          <w:tcPr>
            <w:tcW w:w="1474" w:type="dxa"/>
            <w:vAlign w:val="center"/>
          </w:tcPr>
          <w:p>
            <w:pPr>
              <w:pStyle w:val="12"/>
            </w:pPr>
            <w:r>
              <w:t>39.90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45.43</w:t>
            </w:r>
          </w:p>
        </w:tc>
        <w:tc>
          <w:tcPr>
            <w:tcW w:w="1474" w:type="dxa"/>
            <w:vAlign w:val="center"/>
          </w:tcPr>
          <w:p>
            <w:pPr>
              <w:pStyle w:val="12"/>
            </w:pPr>
            <w:r>
              <w:t>45.43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1364.41</w:t>
            </w:r>
          </w:p>
        </w:tc>
        <w:tc>
          <w:tcPr>
            <w:tcW w:w="3402" w:type="dxa"/>
            <w:vAlign w:val="center"/>
          </w:tcPr>
          <w:p>
            <w:pPr>
              <w:pStyle w:val="15"/>
            </w:pPr>
            <w:r>
              <w:t>本年支出合计</w:t>
            </w:r>
          </w:p>
        </w:tc>
        <w:tc>
          <w:tcPr>
            <w:tcW w:w="1474" w:type="dxa"/>
            <w:vAlign w:val="center"/>
          </w:tcPr>
          <w:p>
            <w:pPr>
              <w:pStyle w:val="16"/>
            </w:pPr>
            <w:r>
              <w:t>1364.41</w:t>
            </w:r>
          </w:p>
        </w:tc>
        <w:tc>
          <w:tcPr>
            <w:tcW w:w="1474" w:type="dxa"/>
            <w:vAlign w:val="center"/>
          </w:tcPr>
          <w:p>
            <w:pPr>
              <w:pStyle w:val="16"/>
            </w:pPr>
            <w:r>
              <w:t>1364.41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1364.41</w:t>
            </w:r>
          </w:p>
        </w:tc>
        <w:tc>
          <w:tcPr>
            <w:tcW w:w="3402" w:type="dxa"/>
            <w:vAlign w:val="center"/>
          </w:tcPr>
          <w:p>
            <w:pPr>
              <w:pStyle w:val="15"/>
            </w:pPr>
            <w:r>
              <w:t>支出总计</w:t>
            </w:r>
          </w:p>
        </w:tc>
        <w:tc>
          <w:tcPr>
            <w:tcW w:w="1474" w:type="dxa"/>
            <w:vAlign w:val="center"/>
          </w:tcPr>
          <w:p>
            <w:pPr>
              <w:pStyle w:val="16"/>
            </w:pPr>
            <w:r>
              <w:t>1364.41</w:t>
            </w:r>
          </w:p>
        </w:tc>
        <w:tc>
          <w:tcPr>
            <w:tcW w:w="1474" w:type="dxa"/>
            <w:vAlign w:val="center"/>
          </w:tcPr>
          <w:p>
            <w:pPr>
              <w:pStyle w:val="16"/>
            </w:pPr>
            <w:r>
              <w:t>1364.41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222中共定兴县纪律检查委员会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1364.41</w:t>
            </w:r>
          </w:p>
        </w:tc>
        <w:tc>
          <w:tcPr>
            <w:tcW w:w="2551" w:type="dxa"/>
            <w:vAlign w:val="center"/>
          </w:tcPr>
          <w:p>
            <w:pPr>
              <w:pStyle w:val="16"/>
            </w:pPr>
            <w:r>
              <w:t>954.99</w:t>
            </w:r>
          </w:p>
        </w:tc>
        <w:tc>
          <w:tcPr>
            <w:tcW w:w="2551" w:type="dxa"/>
            <w:vAlign w:val="center"/>
          </w:tcPr>
          <w:p>
            <w:pPr>
              <w:pStyle w:val="16"/>
            </w:pPr>
            <w:r>
              <w:t>409.42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1204.39</w:t>
            </w:r>
          </w:p>
        </w:tc>
        <w:tc>
          <w:tcPr>
            <w:tcW w:w="2551" w:type="dxa"/>
            <w:vAlign w:val="center"/>
          </w:tcPr>
          <w:p>
            <w:pPr>
              <w:pStyle w:val="12"/>
            </w:pPr>
            <w:r>
              <w:t>794.97</w:t>
            </w:r>
          </w:p>
        </w:tc>
        <w:tc>
          <w:tcPr>
            <w:tcW w:w="2551" w:type="dxa"/>
            <w:vAlign w:val="center"/>
          </w:tcPr>
          <w:p>
            <w:pPr>
              <w:pStyle w:val="12"/>
            </w:pPr>
            <w:r>
              <w:t>409.42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20111</w:t>
            </w:r>
          </w:p>
        </w:tc>
        <w:tc>
          <w:tcPr>
            <w:tcW w:w="4535" w:type="dxa"/>
            <w:vAlign w:val="center"/>
          </w:tcPr>
          <w:p>
            <w:pPr>
              <w:pStyle w:val="13"/>
            </w:pPr>
            <w:r>
              <w:t>纪检监察事务</w:t>
            </w:r>
          </w:p>
        </w:tc>
        <w:tc>
          <w:tcPr>
            <w:tcW w:w="2551" w:type="dxa"/>
            <w:vAlign w:val="center"/>
          </w:tcPr>
          <w:p>
            <w:pPr>
              <w:pStyle w:val="12"/>
            </w:pPr>
            <w:r>
              <w:t>1204.39</w:t>
            </w:r>
          </w:p>
        </w:tc>
        <w:tc>
          <w:tcPr>
            <w:tcW w:w="2551" w:type="dxa"/>
            <w:vAlign w:val="center"/>
          </w:tcPr>
          <w:p>
            <w:pPr>
              <w:pStyle w:val="12"/>
            </w:pPr>
            <w:r>
              <w:t>794.97</w:t>
            </w:r>
          </w:p>
        </w:tc>
        <w:tc>
          <w:tcPr>
            <w:tcW w:w="2551" w:type="dxa"/>
            <w:vAlign w:val="center"/>
          </w:tcPr>
          <w:p>
            <w:pPr>
              <w:pStyle w:val="12"/>
            </w:pPr>
            <w:r>
              <w:t>409.42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2011101</w:t>
            </w:r>
          </w:p>
        </w:tc>
        <w:tc>
          <w:tcPr>
            <w:tcW w:w="4535" w:type="dxa"/>
            <w:vAlign w:val="center"/>
          </w:tcPr>
          <w:p>
            <w:pPr>
              <w:pStyle w:val="13"/>
            </w:pPr>
            <w:r>
              <w:t>行政运行</w:t>
            </w:r>
          </w:p>
        </w:tc>
        <w:tc>
          <w:tcPr>
            <w:tcW w:w="2551" w:type="dxa"/>
            <w:vAlign w:val="center"/>
          </w:tcPr>
          <w:p>
            <w:pPr>
              <w:pStyle w:val="12"/>
            </w:pPr>
            <w:r>
              <w:t>794.97</w:t>
            </w:r>
          </w:p>
        </w:tc>
        <w:tc>
          <w:tcPr>
            <w:tcW w:w="2551" w:type="dxa"/>
            <w:vAlign w:val="center"/>
          </w:tcPr>
          <w:p>
            <w:pPr>
              <w:pStyle w:val="12"/>
            </w:pPr>
            <w:r>
              <w:t>794.97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2011102</w:t>
            </w:r>
          </w:p>
        </w:tc>
        <w:tc>
          <w:tcPr>
            <w:tcW w:w="4535" w:type="dxa"/>
            <w:vAlign w:val="center"/>
          </w:tcPr>
          <w:p>
            <w:pPr>
              <w:pStyle w:val="13"/>
            </w:pPr>
            <w:r>
              <w:t>一般行政管理事务</w:t>
            </w:r>
          </w:p>
        </w:tc>
        <w:tc>
          <w:tcPr>
            <w:tcW w:w="2551" w:type="dxa"/>
            <w:vAlign w:val="center"/>
          </w:tcPr>
          <w:p>
            <w:pPr>
              <w:pStyle w:val="12"/>
            </w:pPr>
            <w:r>
              <w:t>289.42</w:t>
            </w:r>
          </w:p>
        </w:tc>
        <w:tc>
          <w:tcPr>
            <w:tcW w:w="2551" w:type="dxa"/>
            <w:vAlign w:val="center"/>
          </w:tcPr>
          <w:p>
            <w:pPr>
              <w:pStyle w:val="12"/>
            </w:pPr>
          </w:p>
        </w:tc>
        <w:tc>
          <w:tcPr>
            <w:tcW w:w="2551" w:type="dxa"/>
            <w:vAlign w:val="center"/>
          </w:tcPr>
          <w:p>
            <w:pPr>
              <w:pStyle w:val="12"/>
            </w:pPr>
            <w:r>
              <w:t>289.42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2011104</w:t>
            </w:r>
          </w:p>
        </w:tc>
        <w:tc>
          <w:tcPr>
            <w:tcW w:w="4535" w:type="dxa"/>
            <w:vAlign w:val="center"/>
          </w:tcPr>
          <w:p>
            <w:pPr>
              <w:pStyle w:val="13"/>
            </w:pPr>
            <w:r>
              <w:t>大案要案查处</w:t>
            </w:r>
          </w:p>
        </w:tc>
        <w:tc>
          <w:tcPr>
            <w:tcW w:w="2551" w:type="dxa"/>
            <w:vAlign w:val="center"/>
          </w:tcPr>
          <w:p>
            <w:pPr>
              <w:pStyle w:val="12"/>
            </w:pPr>
            <w:r>
              <w:t>120.00</w:t>
            </w:r>
          </w:p>
        </w:tc>
        <w:tc>
          <w:tcPr>
            <w:tcW w:w="2551" w:type="dxa"/>
            <w:vAlign w:val="center"/>
          </w:tcPr>
          <w:p>
            <w:pPr>
              <w:pStyle w:val="12"/>
            </w:pPr>
          </w:p>
        </w:tc>
        <w:tc>
          <w:tcPr>
            <w:tcW w:w="2551" w:type="dxa"/>
            <w:vAlign w:val="center"/>
          </w:tcPr>
          <w:p>
            <w:pPr>
              <w:pStyle w:val="12"/>
            </w:pPr>
            <w: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74.69</w:t>
            </w:r>
          </w:p>
        </w:tc>
        <w:tc>
          <w:tcPr>
            <w:tcW w:w="2551" w:type="dxa"/>
            <w:vAlign w:val="center"/>
          </w:tcPr>
          <w:p>
            <w:pPr>
              <w:pStyle w:val="12"/>
            </w:pPr>
            <w:r>
              <w:t>74.69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74.69</w:t>
            </w:r>
          </w:p>
        </w:tc>
        <w:tc>
          <w:tcPr>
            <w:tcW w:w="2551" w:type="dxa"/>
            <w:vAlign w:val="center"/>
          </w:tcPr>
          <w:p>
            <w:pPr>
              <w:pStyle w:val="12"/>
            </w:pPr>
            <w:r>
              <w:t>74.69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2.01</w:t>
            </w:r>
          </w:p>
        </w:tc>
        <w:tc>
          <w:tcPr>
            <w:tcW w:w="2551" w:type="dxa"/>
            <w:vAlign w:val="center"/>
          </w:tcPr>
          <w:p>
            <w:pPr>
              <w:pStyle w:val="12"/>
            </w:pPr>
            <w:r>
              <w:t>2.01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72.68</w:t>
            </w:r>
          </w:p>
        </w:tc>
        <w:tc>
          <w:tcPr>
            <w:tcW w:w="2551" w:type="dxa"/>
            <w:vAlign w:val="center"/>
          </w:tcPr>
          <w:p>
            <w:pPr>
              <w:pStyle w:val="12"/>
            </w:pPr>
            <w:r>
              <w:t>72.68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39.90</w:t>
            </w:r>
          </w:p>
        </w:tc>
        <w:tc>
          <w:tcPr>
            <w:tcW w:w="2551" w:type="dxa"/>
            <w:vAlign w:val="center"/>
          </w:tcPr>
          <w:p>
            <w:pPr>
              <w:pStyle w:val="12"/>
            </w:pPr>
            <w:r>
              <w:t>39.90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39.90</w:t>
            </w:r>
          </w:p>
        </w:tc>
        <w:tc>
          <w:tcPr>
            <w:tcW w:w="2551" w:type="dxa"/>
            <w:vAlign w:val="center"/>
          </w:tcPr>
          <w:p>
            <w:pPr>
              <w:pStyle w:val="12"/>
            </w:pPr>
            <w:r>
              <w:t>39.90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29.07</w:t>
            </w:r>
          </w:p>
        </w:tc>
        <w:tc>
          <w:tcPr>
            <w:tcW w:w="2551" w:type="dxa"/>
            <w:vAlign w:val="center"/>
          </w:tcPr>
          <w:p>
            <w:pPr>
              <w:pStyle w:val="12"/>
            </w:pPr>
            <w:r>
              <w:t>29.07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10.83</w:t>
            </w:r>
          </w:p>
        </w:tc>
        <w:tc>
          <w:tcPr>
            <w:tcW w:w="2551" w:type="dxa"/>
            <w:vAlign w:val="center"/>
          </w:tcPr>
          <w:p>
            <w:pPr>
              <w:pStyle w:val="12"/>
            </w:pPr>
            <w:r>
              <w:t>10.83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45.43</w:t>
            </w:r>
          </w:p>
        </w:tc>
        <w:tc>
          <w:tcPr>
            <w:tcW w:w="2551" w:type="dxa"/>
            <w:vAlign w:val="center"/>
          </w:tcPr>
          <w:p>
            <w:pPr>
              <w:pStyle w:val="12"/>
            </w:pPr>
            <w:r>
              <w:t>45.43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45.43</w:t>
            </w:r>
          </w:p>
        </w:tc>
        <w:tc>
          <w:tcPr>
            <w:tcW w:w="2551" w:type="dxa"/>
            <w:vAlign w:val="center"/>
          </w:tcPr>
          <w:p>
            <w:pPr>
              <w:pStyle w:val="12"/>
            </w:pPr>
            <w:r>
              <w:t>45.43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45.43</w:t>
            </w:r>
          </w:p>
        </w:tc>
        <w:tc>
          <w:tcPr>
            <w:tcW w:w="2551" w:type="dxa"/>
            <w:vAlign w:val="center"/>
          </w:tcPr>
          <w:p>
            <w:pPr>
              <w:pStyle w:val="12"/>
            </w:pPr>
            <w:r>
              <w:t>45.43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222中共定兴县纪律检查委员会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954.99</w:t>
            </w:r>
          </w:p>
        </w:tc>
        <w:tc>
          <w:tcPr>
            <w:tcW w:w="2551" w:type="dxa"/>
            <w:vAlign w:val="center"/>
          </w:tcPr>
          <w:p>
            <w:pPr>
              <w:pStyle w:val="16"/>
            </w:pPr>
            <w:r>
              <w:t>848.64</w:t>
            </w:r>
          </w:p>
        </w:tc>
        <w:tc>
          <w:tcPr>
            <w:tcW w:w="2551" w:type="dxa"/>
            <w:vAlign w:val="center"/>
          </w:tcPr>
          <w:p>
            <w:pPr>
              <w:pStyle w:val="16"/>
            </w:pPr>
            <w:r>
              <w:t>106.35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846.59</w:t>
            </w:r>
          </w:p>
        </w:tc>
        <w:tc>
          <w:tcPr>
            <w:tcW w:w="2551" w:type="dxa"/>
            <w:vAlign w:val="center"/>
          </w:tcPr>
          <w:p>
            <w:pPr>
              <w:pStyle w:val="12"/>
            </w:pPr>
            <w:r>
              <w:t>846.59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rPr>
                <w:rFonts w:hint="eastAsia" w:eastAsia="方正书宋_GBK"/>
                <w:lang w:eastAsia="zh-CN"/>
              </w:rPr>
            </w:pPr>
            <w:r>
              <w:t>313.7</w:t>
            </w:r>
            <w:r>
              <w:rPr>
                <w:rFonts w:hint="eastAsia"/>
                <w:lang w:val="en-US" w:eastAsia="zh-CN"/>
              </w:rPr>
              <w:t>4</w:t>
            </w:r>
          </w:p>
        </w:tc>
        <w:tc>
          <w:tcPr>
            <w:tcW w:w="2551" w:type="dxa"/>
            <w:vAlign w:val="center"/>
          </w:tcPr>
          <w:p>
            <w:pPr>
              <w:pStyle w:val="12"/>
              <w:rPr>
                <w:rFonts w:hint="eastAsia" w:eastAsia="方正书宋_GBK"/>
                <w:lang w:eastAsia="zh-CN"/>
              </w:rPr>
            </w:pPr>
            <w:r>
              <w:t>313.7</w:t>
            </w:r>
            <w:r>
              <w:rPr>
                <w:rFonts w:hint="eastAsia"/>
                <w:lang w:val="en-US" w:eastAsia="zh-CN"/>
              </w:rPr>
              <w:t>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199.42</w:t>
            </w:r>
          </w:p>
        </w:tc>
        <w:tc>
          <w:tcPr>
            <w:tcW w:w="2551" w:type="dxa"/>
            <w:vAlign w:val="center"/>
          </w:tcPr>
          <w:p>
            <w:pPr>
              <w:pStyle w:val="12"/>
            </w:pPr>
            <w:r>
              <w:t>199.42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173.15</w:t>
            </w:r>
          </w:p>
        </w:tc>
        <w:tc>
          <w:tcPr>
            <w:tcW w:w="2551" w:type="dxa"/>
            <w:vAlign w:val="center"/>
          </w:tcPr>
          <w:p>
            <w:pPr>
              <w:pStyle w:val="12"/>
            </w:pPr>
            <w:r>
              <w:t>173.15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72.68</w:t>
            </w:r>
          </w:p>
        </w:tc>
        <w:tc>
          <w:tcPr>
            <w:tcW w:w="2551" w:type="dxa"/>
            <w:vAlign w:val="center"/>
          </w:tcPr>
          <w:p>
            <w:pPr>
              <w:pStyle w:val="12"/>
            </w:pPr>
            <w:r>
              <w:t>72.68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2"/>
            </w:pPr>
            <w:r>
              <w:t>29.07</w:t>
            </w:r>
          </w:p>
        </w:tc>
        <w:tc>
          <w:tcPr>
            <w:tcW w:w="2551" w:type="dxa"/>
            <w:vAlign w:val="center"/>
          </w:tcPr>
          <w:p>
            <w:pPr>
              <w:pStyle w:val="12"/>
            </w:pPr>
            <w:r>
              <w:t>29.07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10.83</w:t>
            </w:r>
          </w:p>
        </w:tc>
        <w:tc>
          <w:tcPr>
            <w:tcW w:w="2551" w:type="dxa"/>
            <w:vAlign w:val="center"/>
          </w:tcPr>
          <w:p>
            <w:pPr>
              <w:pStyle w:val="12"/>
            </w:pPr>
            <w:r>
              <w:t>10.83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2.27</w:t>
            </w:r>
          </w:p>
        </w:tc>
        <w:tc>
          <w:tcPr>
            <w:tcW w:w="2551" w:type="dxa"/>
            <w:vAlign w:val="center"/>
          </w:tcPr>
          <w:p>
            <w:pPr>
              <w:pStyle w:val="12"/>
            </w:pPr>
            <w:r>
              <w:t>2.27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45.43</w:t>
            </w:r>
          </w:p>
        </w:tc>
        <w:tc>
          <w:tcPr>
            <w:tcW w:w="2551" w:type="dxa"/>
            <w:vAlign w:val="center"/>
          </w:tcPr>
          <w:p>
            <w:pPr>
              <w:pStyle w:val="12"/>
            </w:pPr>
            <w:r>
              <w:t>45.43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106.35</w:t>
            </w:r>
          </w:p>
        </w:tc>
        <w:tc>
          <w:tcPr>
            <w:tcW w:w="2551" w:type="dxa"/>
            <w:vAlign w:val="center"/>
          </w:tcPr>
          <w:p>
            <w:pPr>
              <w:pStyle w:val="12"/>
            </w:pPr>
          </w:p>
        </w:tc>
        <w:tc>
          <w:tcPr>
            <w:tcW w:w="2551" w:type="dxa"/>
            <w:vAlign w:val="center"/>
          </w:tcPr>
          <w:p>
            <w:pPr>
              <w:pStyle w:val="12"/>
            </w:pPr>
            <w:r>
              <w:t>106.35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14.90</w:t>
            </w:r>
          </w:p>
        </w:tc>
        <w:tc>
          <w:tcPr>
            <w:tcW w:w="2551" w:type="dxa"/>
            <w:vAlign w:val="center"/>
          </w:tcPr>
          <w:p>
            <w:pPr>
              <w:pStyle w:val="12"/>
            </w:pPr>
          </w:p>
        </w:tc>
        <w:tc>
          <w:tcPr>
            <w:tcW w:w="2551" w:type="dxa"/>
            <w:vAlign w:val="center"/>
          </w:tcPr>
          <w:p>
            <w:pPr>
              <w:pStyle w:val="12"/>
            </w:pPr>
            <w:r>
              <w:t>14.90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14.80</w:t>
            </w:r>
          </w:p>
        </w:tc>
        <w:tc>
          <w:tcPr>
            <w:tcW w:w="2551" w:type="dxa"/>
            <w:vAlign w:val="center"/>
          </w:tcPr>
          <w:p>
            <w:pPr>
              <w:pStyle w:val="12"/>
            </w:pPr>
          </w:p>
        </w:tc>
        <w:tc>
          <w:tcPr>
            <w:tcW w:w="2551" w:type="dxa"/>
            <w:vAlign w:val="center"/>
          </w:tcPr>
          <w:p>
            <w:pPr>
              <w:pStyle w:val="12"/>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5.44</w:t>
            </w:r>
          </w:p>
        </w:tc>
        <w:tc>
          <w:tcPr>
            <w:tcW w:w="2551" w:type="dxa"/>
            <w:vAlign w:val="center"/>
          </w:tcPr>
          <w:p>
            <w:pPr>
              <w:pStyle w:val="12"/>
            </w:pPr>
          </w:p>
        </w:tc>
        <w:tc>
          <w:tcPr>
            <w:tcW w:w="2551" w:type="dxa"/>
            <w:vAlign w:val="center"/>
          </w:tcPr>
          <w:p>
            <w:pPr>
              <w:pStyle w:val="12"/>
            </w:pPr>
            <w:r>
              <w:t>5.44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7.84</w:t>
            </w:r>
          </w:p>
        </w:tc>
        <w:tc>
          <w:tcPr>
            <w:tcW w:w="2551" w:type="dxa"/>
            <w:vAlign w:val="center"/>
          </w:tcPr>
          <w:p>
            <w:pPr>
              <w:pStyle w:val="12"/>
            </w:pPr>
          </w:p>
        </w:tc>
        <w:tc>
          <w:tcPr>
            <w:tcW w:w="2551" w:type="dxa"/>
            <w:vAlign w:val="center"/>
          </w:tcPr>
          <w:p>
            <w:pPr>
              <w:pStyle w:val="12"/>
            </w:pPr>
            <w:r>
              <w:t>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51.36</w:t>
            </w:r>
          </w:p>
        </w:tc>
        <w:tc>
          <w:tcPr>
            <w:tcW w:w="2551" w:type="dxa"/>
            <w:vAlign w:val="center"/>
          </w:tcPr>
          <w:p>
            <w:pPr>
              <w:pStyle w:val="12"/>
            </w:pPr>
          </w:p>
        </w:tc>
        <w:tc>
          <w:tcPr>
            <w:tcW w:w="2551" w:type="dxa"/>
            <w:vAlign w:val="center"/>
          </w:tcPr>
          <w:p>
            <w:pPr>
              <w:pStyle w:val="12"/>
            </w:pPr>
            <w:r>
              <w:t>51.36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2.01</w:t>
            </w:r>
          </w:p>
        </w:tc>
        <w:tc>
          <w:tcPr>
            <w:tcW w:w="2551" w:type="dxa"/>
            <w:vAlign w:val="center"/>
          </w:tcPr>
          <w:p>
            <w:pPr>
              <w:pStyle w:val="12"/>
            </w:pPr>
          </w:p>
        </w:tc>
        <w:tc>
          <w:tcPr>
            <w:tcW w:w="2551" w:type="dxa"/>
            <w:vAlign w:val="center"/>
          </w:tcPr>
          <w:p>
            <w:pPr>
              <w:pStyle w:val="12"/>
            </w:pPr>
            <w:r>
              <w:t>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2.05</w:t>
            </w:r>
          </w:p>
        </w:tc>
        <w:tc>
          <w:tcPr>
            <w:tcW w:w="2551" w:type="dxa"/>
            <w:vAlign w:val="center"/>
          </w:tcPr>
          <w:p>
            <w:pPr>
              <w:pStyle w:val="12"/>
            </w:pPr>
            <w:r>
              <w:t>2.05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1.81</w:t>
            </w:r>
          </w:p>
        </w:tc>
        <w:tc>
          <w:tcPr>
            <w:tcW w:w="2551" w:type="dxa"/>
            <w:vAlign w:val="center"/>
          </w:tcPr>
          <w:p>
            <w:pPr>
              <w:pStyle w:val="12"/>
            </w:pPr>
            <w:r>
              <w:t>1.81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30399</w:t>
            </w:r>
          </w:p>
        </w:tc>
        <w:tc>
          <w:tcPr>
            <w:tcW w:w="4535" w:type="dxa"/>
            <w:vAlign w:val="center"/>
          </w:tcPr>
          <w:p>
            <w:pPr>
              <w:pStyle w:val="13"/>
            </w:pPr>
            <w:r>
              <w:t>其他对个人和家庭的补助</w:t>
            </w:r>
          </w:p>
        </w:tc>
        <w:tc>
          <w:tcPr>
            <w:tcW w:w="2551" w:type="dxa"/>
            <w:vAlign w:val="center"/>
          </w:tcPr>
          <w:p>
            <w:pPr>
              <w:pStyle w:val="12"/>
            </w:pPr>
            <w:r>
              <w:t>0.24</w:t>
            </w:r>
          </w:p>
        </w:tc>
        <w:tc>
          <w:tcPr>
            <w:tcW w:w="2551" w:type="dxa"/>
            <w:vAlign w:val="center"/>
          </w:tcPr>
          <w:p>
            <w:pPr>
              <w:pStyle w:val="12"/>
            </w:pPr>
            <w:r>
              <w:t>0.24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222中共定兴县纪律检查委员会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222中共定兴县纪律检查委员会</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222中共定兴县纪律检查委员会</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rPr>
                <w:rFonts w:hint="default" w:eastAsia="方正书宋_GBK"/>
                <w:lang w:val="en-US" w:eastAsia="zh-CN"/>
              </w:rPr>
            </w:pPr>
            <w:r>
              <w:rPr>
                <w:rFonts w:hint="eastAsia"/>
                <w:lang w:val="en-US" w:eastAsia="zh-CN"/>
              </w:rPr>
              <w:t>83.00</w:t>
            </w:r>
          </w:p>
        </w:tc>
        <w:tc>
          <w:tcPr>
            <w:tcW w:w="2381" w:type="dxa"/>
            <w:vAlign w:val="center"/>
          </w:tcPr>
          <w:p>
            <w:pPr>
              <w:pStyle w:val="16"/>
              <w:rPr>
                <w:rFonts w:hint="default" w:eastAsia="方正书宋_GBK"/>
                <w:lang w:val="en-US" w:eastAsia="zh-CN"/>
              </w:rPr>
            </w:pPr>
            <w:r>
              <w:rPr>
                <w:rFonts w:hint="eastAsia"/>
                <w:lang w:val="en-US" w:eastAsia="zh-CN"/>
              </w:rPr>
              <w:t>83.00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rPr>
                <w:rFonts w:hint="default" w:eastAsia="方正书宋_GBK"/>
                <w:lang w:val="en-US" w:eastAsia="zh-CN"/>
              </w:rPr>
            </w:pPr>
            <w:r>
              <w:rPr>
                <w:rFonts w:hint="eastAsia"/>
                <w:lang w:val="en-US" w:eastAsia="zh-CN"/>
              </w:rPr>
              <w:t>69.00</w:t>
            </w:r>
          </w:p>
        </w:tc>
        <w:tc>
          <w:tcPr>
            <w:tcW w:w="2381" w:type="dxa"/>
            <w:vAlign w:val="center"/>
          </w:tcPr>
          <w:p>
            <w:pPr>
              <w:pStyle w:val="12"/>
              <w:rPr>
                <w:rFonts w:hint="default" w:eastAsia="方正书宋_GBK"/>
                <w:lang w:val="en-US" w:eastAsia="zh-CN"/>
              </w:rPr>
            </w:pPr>
            <w:r>
              <w:rPr>
                <w:rFonts w:hint="eastAsia"/>
                <w:lang w:val="en-US" w:eastAsia="zh-CN"/>
              </w:rPr>
              <w:t>69.00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rPr>
                <w:rFonts w:hint="eastAsia" w:eastAsia="方正书宋_GBK"/>
                <w:lang w:val="en-US" w:eastAsia="zh-CN"/>
              </w:rPr>
            </w:pPr>
          </w:p>
        </w:tc>
        <w:tc>
          <w:tcPr>
            <w:tcW w:w="2381" w:type="dxa"/>
            <w:vAlign w:val="center"/>
          </w:tcPr>
          <w:p>
            <w:pPr>
              <w:pStyle w:val="12"/>
              <w:rPr>
                <w:rFonts w:hint="eastAsia" w:eastAsia="方正书宋_GBK"/>
                <w:lang w:val="en-US" w:eastAsia="zh-CN"/>
              </w:rPr>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rPr>
                <w:rFonts w:hint="default" w:eastAsia="方正书宋_GBK"/>
                <w:lang w:val="en-US" w:eastAsia="zh-CN"/>
              </w:rPr>
            </w:pPr>
            <w:r>
              <w:rPr>
                <w:rFonts w:hint="eastAsia"/>
                <w:lang w:val="en-US" w:eastAsia="zh-CN"/>
              </w:rPr>
              <w:t>59.00</w:t>
            </w:r>
          </w:p>
        </w:tc>
        <w:tc>
          <w:tcPr>
            <w:tcW w:w="2381" w:type="dxa"/>
            <w:vAlign w:val="center"/>
          </w:tcPr>
          <w:p>
            <w:pPr>
              <w:pStyle w:val="12"/>
              <w:rPr>
                <w:rFonts w:hint="default" w:eastAsia="方正书宋_GBK"/>
                <w:lang w:val="en-US" w:eastAsia="zh-CN"/>
              </w:rPr>
            </w:pPr>
            <w:r>
              <w:rPr>
                <w:rFonts w:hint="eastAsia"/>
                <w:lang w:val="en-US" w:eastAsia="zh-CN"/>
              </w:rPr>
              <w:t>59.00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r>
              <w:t>24.00</w:t>
            </w:r>
          </w:p>
        </w:tc>
        <w:tc>
          <w:tcPr>
            <w:tcW w:w="2381" w:type="dxa"/>
            <w:vAlign w:val="center"/>
          </w:tcPr>
          <w:p>
            <w:pPr>
              <w:pStyle w:val="12"/>
            </w:pPr>
            <w:r>
              <w:t>24.00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35.00</w:t>
            </w:r>
          </w:p>
        </w:tc>
        <w:tc>
          <w:tcPr>
            <w:tcW w:w="2381" w:type="dxa"/>
            <w:vAlign w:val="center"/>
          </w:tcPr>
          <w:p>
            <w:pPr>
              <w:pStyle w:val="12"/>
            </w:pPr>
            <w:r>
              <w:t>35.00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10.00</w:t>
            </w:r>
          </w:p>
        </w:tc>
        <w:tc>
          <w:tcPr>
            <w:tcW w:w="2381" w:type="dxa"/>
            <w:vAlign w:val="center"/>
          </w:tcPr>
          <w:p>
            <w:pPr>
              <w:pStyle w:val="12"/>
            </w:pPr>
            <w:r>
              <w:t>10.00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五、培训费</w:t>
            </w:r>
          </w:p>
        </w:tc>
        <w:tc>
          <w:tcPr>
            <w:tcW w:w="2381" w:type="dxa"/>
            <w:vAlign w:val="center"/>
          </w:tcPr>
          <w:p>
            <w:pPr>
              <w:pStyle w:val="12"/>
            </w:pPr>
            <w:r>
              <w:t>14.00</w:t>
            </w:r>
          </w:p>
        </w:tc>
        <w:tc>
          <w:tcPr>
            <w:tcW w:w="2381" w:type="dxa"/>
            <w:vAlign w:val="center"/>
          </w:tcPr>
          <w:p>
            <w:pPr>
              <w:pStyle w:val="12"/>
            </w:pPr>
            <w:r>
              <w:t>14.00</w:t>
            </w: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中共定兴县纪律检查委员会2022年部门预算信息公开情况说明</w:t>
      </w:r>
    </w:p>
    <w:p>
      <w:pPr>
        <w:jc w:val="center"/>
      </w:pPr>
      <w:r>
        <w:rPr>
          <w:rFonts w:ascii="方正小标宋_GBK" w:hAnsi="方正小标宋_GBK" w:eastAsia="方正小标宋_GBK" w:cs="方正小标宋_GBK"/>
          <w:color w:val="000000"/>
          <w:sz w:val="44"/>
        </w:rPr>
        <w:t>中共定兴县纪律检查委员会2022年部门预算信息公开情况说明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按照《预算法》、《地方预决算公开操作规程》和《关于进一步推进预算公开工作的实施意见》规定，现将中共定兴县纪律检查委员会2022年部门预算公开如下：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办公室。负责机关日常运转工作；负责县纪委监委重要会议、活动的筹备组织等工作；组织起草县纪委监委有关文件文稿；负责县委监委机关对外联络接洽、秘书、值班工作；督促检查有关工作部署的落实情况；负责档案管理、保密和信息工作；负责机关后勤管理和服务工作；负责机关财务管理、国有资产管理、安全保卫工作以及派驻机构人员经费、办案经费有关工作；负责机关及派驻机构涉案款物保管；负责机关、派驻机构干部职工医疗和卫生防疫工作；负责组织县人大提案提交工作，组织协调有关县人大代表建议和县政协提案答复工作；负责制定全县纪检监察机关信息化建设和技术保障工作的总体规划和年度计划，并组织实施；指导下级纪检监察机构开展信息化建设、应用和技术保障工作；负责县纪委监委业务应用系统建设和运维工作，为执纪监督和审查调查业务提供信息技术保障；负责全县纪检监察网络、视频会议和密码设备的管理工作；负责县纪委监委信息化基础设施、计算机网络建设和信息网络安全工作等。</w:t>
      </w:r>
    </w:p>
    <w:p>
      <w:pPr>
        <w:pStyle w:val="18"/>
      </w:pPr>
      <w:r>
        <w:t>负责监督检查全县纪检监察系统干部遵守和执行党的章程和其他党内法规，遵守和执行党的路线方针政策和决议、国家法律法规等方面的情况；受理对全县纪检监察系统、派驻（出）机构党员干部，县委巡察办、巡察组领导职务干部（工作关系在县纪委的）涉嫌违反党纪、职务违法和职务犯罪等问题的举报，提出处置意见并负责问题线索初步核实及立案审查调查工作；研究制定关于加强纪检监察干部监督的规定，指导纪检监察系统干部监督工作；负责监督检查纪检监察系统干部选拔任用工作等。承办领导交办的其他事项。</w:t>
      </w:r>
    </w:p>
    <w:p>
      <w:pPr>
        <w:pStyle w:val="18"/>
      </w:pPr>
      <w:r>
        <w:t>组织部。根据干部管理权限，负责全县纪检监察系统领导班子建设、干部队伍建设和组织建设的综合规划、政策研究、制度建设和业务指导；会同县委组织部负责县委巡察办的科级干部提名、考察，报县委任免；负责县纪委监委机关及派驻机构干部人事工作；负责县委巡察办、县委巡察组有关干部人事工作；会同有关方面负责县纪委监委派驻机构领导班子成员的提名考察、任免等干部人事工作；组织和指导全县纪检监察系统干部教育培训工作；负责离退休干部工作；负责县纪委监委机关党建工作等。</w:t>
      </w:r>
    </w:p>
    <w:p>
      <w:pPr>
        <w:pStyle w:val="18"/>
      </w:pPr>
      <w:r>
        <w:t>负责组织协调全面从严治党、党风廉政建设和反腐败宣传教育以及廉洁文化建设工作；负责县纪委监委机关的新闻事务和有关网络信息工作。承办领导交办的其他事项。</w:t>
      </w:r>
    </w:p>
    <w:p>
      <w:pPr>
        <w:pStyle w:val="18"/>
      </w:pPr>
      <w:r>
        <w:t>党风政风监督室。负责综合协调贯彻执行党的路线方针政策和决议、国家法律法规等情况的监督检查；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协调县纪委监委机关参与调查的事故、事件中涉及的监督对象违纪违法行为和需要问责情形的调查处理工作；综合分析党风政风监督工作情况，开展调查研究，提出工作建议；组织开展党风政风监督专项检查活动；指导全县纪检监察系统的党风政风监督工作；负责综合分析全面从严治党、党风廉政建设和反腐败工作情况，开展政策理论及重大课题调查研究；起草重要文件；统筹协调县纪委监委机关各监督部门开展监督工作，定期汇总监督检查情况；组织相关部门参加联系单位领导班子民主生活会；协助办理县管干部任职前回复县委组织部意见工作等。承办领导交办的其他事项。</w:t>
      </w:r>
    </w:p>
    <w:p>
      <w:pPr>
        <w:pStyle w:val="18"/>
      </w:pPr>
      <w:r>
        <w:t>信访室。负责受理对党的组织、党员违反党纪行为和对行使公权力的公职人员职务违法、职务犯罪行为等的检举、控告；归口受理对县委管理的党的组织和党员干部违反党纪、职务违法和职务犯罪行为等的信访举报，分类摘要后将问题线索类信访举报移送案件监督管理部门；受理党员对县纪委作出的党纪处分或者其他处理不服的申述、监察对象对县监委作出的涉及本人的处理决定不服的复审申请；综合分析信访举报情况；接待群众来访，处理群众来信和电话网络举报事项，处置信访举报中的突发情况；负责上级纪委监委交办信访案件的转办、督办工作等。承办领导交办的其他事项。</w:t>
      </w:r>
    </w:p>
    <w:p>
      <w:pPr>
        <w:pStyle w:val="18"/>
      </w:pPr>
      <w:r>
        <w:t>案件监督管理室。负责对监督检查、审查调查工作全过程进行监督管理，履行线索管理、组织协调、监督检查、督促办理、统计分析等职责；统一受理信访室移送的县管干部问题线索类信访举报和巡视巡察工作机构、审计机关、行政执法机关、司法机关等单位移交的相关问题线索，实行集中管理、动态更新、定期汇总核对，提出分办意见移交监督检查室或审查调查室；归口管理审查调查工作中与有关部门的联系协调事项；对调查措施使用进行监督管理，监督检查全县纪检监察机关依纪依法安全办案情况；负责执纪监督和审查调查信息化查询平合的管理和使用；协调办理县管干部任职前回复县委组织部意见工作；负责对采取留置措施履行审批程序和管理；负责反腐败追逃追赃和防逃工作的组织协调，建立健全追逃追赃和防逃协调机制；承担县纪委监委负责的追逃追赃任务等。承办领导交办的其他事项。</w:t>
      </w:r>
    </w:p>
    <w:p>
      <w:pPr>
        <w:pStyle w:val="18"/>
      </w:pPr>
      <w:r>
        <w:t>第一至第六监督检查室。主要履行依纪依法监督的职责。监督检查联系单位领导班子及县管干部遵守和执行党的章程和其他党内法规，遵守和执行党的路线方针政策和决议、国家法律法规，推进全面从严治党，依法履职、秉公用权、廉洁从政从业以及道德操守等方面的情况；监督检查联系单位党委（党组）落实管党治党主体责任的情况，指导、检查、督促纪委监委（派驻、派出机构）落实纪检、监察责任，实施问责；向监察对象所在单位提出监察建议；综合分析研判问题线索，综合运用“四种形态”按程序提出处置意见；负责联系单位巡视巡察整改落实的日常监督工作；综合、协调、指导联系单位及其系统的纪检监察工作等。承办领导交办的其他事项。</w:t>
      </w:r>
    </w:p>
    <w:p>
      <w:pPr>
        <w:pStyle w:val="18"/>
      </w:pPr>
      <w:r>
        <w:t>第七至第十审查调查室。主要履行执纪审查和依法调查处置的职责。承办涉嫌严重违纪或者职务违法、职务犯罪问题线索的初步核实和立案审查调查，以及其他比较重要或者复杂案件的初步核实、审查调查，并提出处理建议；向监察对象所在单位提出监察建议等。承办领导交办的其他事项.</w:t>
      </w:r>
    </w:p>
    <w:p>
      <w:pPr>
        <w:pStyle w:val="18"/>
      </w:pPr>
      <w:r>
        <w:t>案件审理室。负责审理县纪委监委直接审查调查和乡科级党的组织、政府（部门）报批或者备案的违反党纪和职务违法、职务犯罪案件，严格依规依纪依法提出处理或者处分意见；承办党员对县纪委作出的党纪处分或者其他处理不服的申诉案件、监察对象对县监委作出的涉及本人的处理决定不服的申请复审案件，以及其他需要由县纪委监委办理的申诉、复核案件；负责落实上级关于地方性纪检监察法规制度建设规划、计划和立法立规的建议；落实地方性纪检监察法规制度；参与起草有关规范性文件；负责纪检监察法规制度的咨询答复、解释指导、备案审查、清理、编纂等；协助办理县管干部任职前回复县委组织部意见工作；研究分析全县职务犯罪的特点、规律，提出预防对策及制定相关责任追究办法等。承办领导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中共定兴县纪律检查委员会（本级）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sz w:val="28"/>
          <w:szCs w:val="28"/>
        </w:rPr>
      </w:pPr>
      <w:r>
        <w:rPr>
          <w:rFonts w:eastAsia="方正仿宋_GBK"/>
          <w:color w:val="000000"/>
          <w:sz w:val="28"/>
          <w:szCs w:val="28"/>
        </w:rPr>
        <w:t>按照预算管理有关规定，目前我省部门预算的编制实行综合预算管理，即全部收入和支出都反映在预算中。中共定兴县纪律检查委员会机关及所属事业单位的收支包含在部门预算中。</w:t>
      </w:r>
    </w:p>
    <w:p>
      <w:pPr>
        <w:spacing w:line="500" w:lineRule="exact"/>
        <w:ind w:firstLine="560"/>
        <w:rPr>
          <w:rFonts w:hint="default" w:eastAsia="方正仿宋_GBK"/>
          <w:color w:val="000000"/>
          <w:sz w:val="28"/>
          <w:szCs w:val="28"/>
          <w:lang w:val="en-US" w:eastAsia="zh-CN"/>
        </w:rPr>
      </w:pPr>
      <w:r>
        <w:rPr>
          <w:rFonts w:hint="eastAsia" w:eastAsia="方正仿宋_GBK"/>
          <w:color w:val="000000"/>
          <w:sz w:val="28"/>
          <w:szCs w:val="28"/>
          <w:lang w:val="en-US" w:eastAsia="zh-CN"/>
        </w:rPr>
        <w:t>1、收入说明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年定兴县纪委及所属事业单位年初部门收入预算总额为</w:t>
      </w:r>
      <w:r>
        <w:rPr>
          <w:rFonts w:hint="eastAsia" w:eastAsia="方正仿宋_GBK"/>
          <w:color w:val="000000"/>
          <w:sz w:val="28"/>
          <w:lang w:eastAsia="zh-CN"/>
        </w:rPr>
        <w:t>1364.41</w:t>
      </w:r>
      <w:r>
        <w:rPr>
          <w:rFonts w:hint="eastAsia" w:eastAsia="方正仿宋_GBK"/>
          <w:color w:val="000000"/>
          <w:sz w:val="28"/>
        </w:rPr>
        <w:t>万元。一般公共预算财政拨款</w:t>
      </w:r>
      <w:r>
        <w:rPr>
          <w:rFonts w:hint="eastAsia" w:eastAsia="方正仿宋_GBK"/>
          <w:color w:val="000000"/>
          <w:sz w:val="28"/>
          <w:lang w:eastAsia="zh-CN"/>
        </w:rPr>
        <w:t>1364.41</w:t>
      </w:r>
      <w:r>
        <w:rPr>
          <w:rFonts w:hint="eastAsia" w:eastAsia="方正仿宋_GBK"/>
          <w:color w:val="000000"/>
          <w:sz w:val="28"/>
        </w:rPr>
        <w:t>万元。</w:t>
      </w:r>
    </w:p>
    <w:p>
      <w:pPr>
        <w:spacing w:line="500" w:lineRule="exact"/>
        <w:ind w:firstLine="560"/>
        <w:rPr>
          <w:rFonts w:eastAsia="方正仿宋_GBK"/>
          <w:color w:val="000000"/>
          <w:sz w:val="28"/>
          <w:lang w:eastAsia="zh-CN"/>
        </w:rPr>
      </w:pPr>
      <w:r>
        <w:rPr>
          <w:rFonts w:hint="eastAsia" w:eastAsia="方正仿宋_GBK"/>
          <w:color w:val="000000"/>
          <w:sz w:val="28"/>
        </w:rPr>
        <w:t>其中：</w:t>
      </w:r>
      <w:r>
        <w:rPr>
          <w:rFonts w:hint="eastAsia" w:eastAsia="方正仿宋_GBK"/>
          <w:color w:val="000000"/>
          <w:sz w:val="28"/>
          <w:lang w:eastAsia="zh-CN"/>
        </w:rPr>
        <w:t>一般财力</w:t>
      </w:r>
      <w:r>
        <w:rPr>
          <w:rFonts w:hint="eastAsia" w:eastAsia="方正仿宋_GBK"/>
          <w:color w:val="000000"/>
          <w:sz w:val="28"/>
        </w:rPr>
        <w:t>1265.49</w:t>
      </w:r>
      <w:r>
        <w:rPr>
          <w:rFonts w:hint="eastAsia" w:eastAsia="方正仿宋_GBK"/>
          <w:color w:val="000000"/>
          <w:sz w:val="28"/>
          <w:lang w:eastAsia="zh-CN"/>
        </w:rPr>
        <w:t>万元；其他</w:t>
      </w:r>
      <w:r>
        <w:rPr>
          <w:rFonts w:hint="eastAsia" w:eastAsia="方正仿宋_GBK"/>
          <w:color w:val="000000"/>
          <w:sz w:val="28"/>
        </w:rPr>
        <w:t>98.92</w:t>
      </w:r>
      <w:r>
        <w:rPr>
          <w:rFonts w:hint="eastAsia" w:eastAsia="方正仿宋_GBK"/>
          <w:color w:val="000000"/>
          <w:sz w:val="28"/>
          <w:lang w:eastAsia="zh-CN"/>
        </w:rPr>
        <w:t>万元。</w:t>
      </w:r>
    </w:p>
    <w:p>
      <w:pPr>
        <w:spacing w:line="500" w:lineRule="exact"/>
        <w:ind w:firstLine="560"/>
        <w:rPr>
          <w:rFonts w:eastAsia="方正仿宋_GBK"/>
          <w:color w:val="000000"/>
          <w:sz w:val="28"/>
        </w:rPr>
      </w:pPr>
      <w:r>
        <w:rPr>
          <w:rFonts w:hint="eastAsia" w:eastAsia="方正仿宋_GBK"/>
          <w:color w:val="000000"/>
          <w:sz w:val="28"/>
        </w:rPr>
        <w:t>2、支出说明</w:t>
      </w:r>
    </w:p>
    <w:p>
      <w:pPr>
        <w:spacing w:line="500" w:lineRule="exact"/>
        <w:ind w:firstLine="560"/>
        <w:rPr>
          <w:rFonts w:eastAsia="方正仿宋_GBK"/>
          <w:color w:val="000000"/>
          <w:sz w:val="28"/>
        </w:rPr>
      </w:pPr>
      <w:r>
        <w:rPr>
          <w:rFonts w:hint="eastAsia" w:eastAsia="方正仿宋_GBK"/>
          <w:color w:val="000000"/>
          <w:sz w:val="28"/>
        </w:rPr>
        <w:t>2021年部门支出安排预算总额</w:t>
      </w:r>
      <w:r>
        <w:rPr>
          <w:rFonts w:hint="eastAsia" w:eastAsia="方正仿宋_GBK"/>
          <w:color w:val="000000"/>
          <w:sz w:val="28"/>
          <w:lang w:eastAsia="zh-CN"/>
        </w:rPr>
        <w:t>1364.41</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 xml:space="preserve">基本支出 </w:t>
      </w:r>
      <w:r>
        <w:rPr>
          <w:rFonts w:hint="eastAsia" w:eastAsia="方正仿宋_GBK"/>
          <w:color w:val="000000"/>
          <w:sz w:val="28"/>
          <w:lang w:eastAsia="zh-CN"/>
        </w:rPr>
        <w:t>954.99</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 xml:space="preserve">   其中：人员经费 </w:t>
      </w:r>
      <w:r>
        <w:rPr>
          <w:rFonts w:hint="eastAsia" w:eastAsia="方正仿宋_GBK"/>
          <w:color w:val="000000"/>
          <w:sz w:val="28"/>
          <w:lang w:eastAsia="zh-CN"/>
        </w:rPr>
        <w:t>848.64</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 xml:space="preserve">         日常公用经费</w:t>
      </w:r>
      <w:r>
        <w:rPr>
          <w:rFonts w:hint="eastAsia" w:eastAsia="方正仿宋_GBK"/>
          <w:color w:val="000000"/>
          <w:sz w:val="28"/>
          <w:lang w:eastAsia="zh-CN"/>
        </w:rPr>
        <w:t>106.35</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项目支出</w:t>
      </w:r>
      <w:r>
        <w:rPr>
          <w:rFonts w:hint="eastAsia" w:eastAsia="方正仿宋_GBK"/>
          <w:color w:val="000000"/>
          <w:sz w:val="28"/>
          <w:lang w:eastAsia="zh-CN"/>
        </w:rPr>
        <w:t>409.42</w:t>
      </w:r>
      <w:r>
        <w:rPr>
          <w:rFonts w:hint="eastAsia" w:eastAsia="方正仿宋_GBK"/>
          <w:color w:val="000000"/>
          <w:sz w:val="28"/>
        </w:rPr>
        <w:t>万元</w:t>
      </w:r>
    </w:p>
    <w:p>
      <w:pPr>
        <w:spacing w:line="500" w:lineRule="exact"/>
        <w:ind w:firstLine="560"/>
        <w:rPr>
          <w:rFonts w:eastAsia="方正仿宋_GBK"/>
          <w:color w:val="000000"/>
          <w:sz w:val="28"/>
        </w:rPr>
      </w:pPr>
      <w:r>
        <w:rPr>
          <w:rFonts w:hint="eastAsia" w:eastAsia="方正仿宋_GBK"/>
          <w:color w:val="000000"/>
          <w:sz w:val="28"/>
        </w:rPr>
        <w:t>3、比上年增减情况</w:t>
      </w:r>
    </w:p>
    <w:p>
      <w:pPr>
        <w:spacing w:line="500" w:lineRule="exact"/>
        <w:ind w:firstLine="560"/>
        <w:rPr>
          <w:rFonts w:eastAsia="方正仿宋_GBK"/>
          <w:color w:val="000000"/>
          <w:sz w:val="28"/>
        </w:rPr>
      </w:pPr>
      <w:r>
        <w:rPr>
          <w:rFonts w:hint="eastAsia" w:eastAsia="方正仿宋_GBK"/>
          <w:color w:val="000000"/>
          <w:sz w:val="28"/>
        </w:rPr>
        <w:t>本年度预算收支安排</w:t>
      </w:r>
      <w:r>
        <w:rPr>
          <w:rFonts w:hint="eastAsia" w:eastAsia="方正仿宋_GBK"/>
          <w:color w:val="000000"/>
          <w:sz w:val="28"/>
          <w:lang w:eastAsia="zh-CN"/>
        </w:rPr>
        <w:t>1364.41</w:t>
      </w:r>
      <w:r>
        <w:rPr>
          <w:rFonts w:hint="eastAsia" w:eastAsia="方正仿宋_GBK"/>
          <w:color w:val="000000"/>
          <w:sz w:val="28"/>
        </w:rPr>
        <w:t>万元，较上年增加</w:t>
      </w:r>
      <w:r>
        <w:rPr>
          <w:rFonts w:hint="eastAsia" w:eastAsia="方正仿宋_GBK"/>
          <w:color w:val="000000"/>
          <w:sz w:val="28"/>
          <w:lang w:eastAsia="zh-CN"/>
        </w:rPr>
        <w:t>258.93</w:t>
      </w:r>
      <w:r>
        <w:rPr>
          <w:rFonts w:hint="eastAsia" w:eastAsia="方正仿宋_GBK"/>
          <w:color w:val="000000"/>
          <w:sz w:val="28"/>
        </w:rPr>
        <w:t>万元。其中:基本支出</w:t>
      </w:r>
      <w:r>
        <w:rPr>
          <w:rFonts w:hint="eastAsia" w:eastAsia="方正仿宋_GBK"/>
          <w:color w:val="000000"/>
          <w:sz w:val="28"/>
          <w:lang w:eastAsia="zh-CN"/>
        </w:rPr>
        <w:t>增加297.01</w:t>
      </w:r>
      <w:r>
        <w:rPr>
          <w:rFonts w:hint="eastAsia" w:eastAsia="方正仿宋_GBK"/>
          <w:color w:val="000000"/>
          <w:sz w:val="28"/>
        </w:rPr>
        <w:t>万元，主要</w:t>
      </w:r>
      <w:r>
        <w:rPr>
          <w:rFonts w:hint="eastAsia" w:eastAsia="方正仿宋_GBK"/>
          <w:color w:val="000000"/>
          <w:sz w:val="28"/>
          <w:lang w:eastAsia="zh-CN"/>
        </w:rPr>
        <w:t>增加</w:t>
      </w: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年在职人员工资保险支出；项目支出</w:t>
      </w:r>
      <w:r>
        <w:rPr>
          <w:rFonts w:hint="eastAsia" w:eastAsia="方正仿宋_GBK"/>
          <w:color w:val="000000"/>
          <w:sz w:val="28"/>
          <w:lang w:eastAsia="zh-CN"/>
        </w:rPr>
        <w:t>减少38.08</w:t>
      </w:r>
      <w:r>
        <w:rPr>
          <w:rFonts w:hint="eastAsia" w:eastAsia="方正仿宋_GBK"/>
          <w:color w:val="000000"/>
          <w:sz w:val="28"/>
        </w:rPr>
        <w:t>万元，主要是因为较202</w:t>
      </w:r>
      <w:r>
        <w:rPr>
          <w:rFonts w:hint="eastAsia" w:eastAsia="方正仿宋_GBK"/>
          <w:color w:val="000000"/>
          <w:sz w:val="28"/>
          <w:lang w:eastAsia="zh-CN"/>
        </w:rPr>
        <w:t>1</w:t>
      </w:r>
      <w:r>
        <w:rPr>
          <w:rFonts w:hint="eastAsia" w:eastAsia="方正仿宋_GBK"/>
          <w:color w:val="000000"/>
          <w:sz w:val="28"/>
        </w:rPr>
        <w:t>年度项目</w:t>
      </w:r>
      <w:r>
        <w:rPr>
          <w:rFonts w:hint="eastAsia" w:eastAsia="方正仿宋_GBK"/>
          <w:color w:val="000000"/>
          <w:sz w:val="28"/>
          <w:lang w:eastAsia="zh-CN"/>
        </w:rPr>
        <w:t>减少</w:t>
      </w:r>
      <w:r>
        <w:rPr>
          <w:rFonts w:hint="eastAsia" w:eastAsia="方正仿宋_GBK"/>
          <w:color w:val="000000"/>
          <w:sz w:val="28"/>
        </w:rPr>
        <w:t>。</w:t>
      </w:r>
    </w:p>
    <w:p>
      <w:pPr>
        <w:spacing w:line="500" w:lineRule="exact"/>
        <w:ind w:firstLine="560"/>
        <w:rPr>
          <w:rFonts w:eastAsia="方正仿宋_GBK"/>
          <w:color w:val="000000"/>
          <w:sz w:val="28"/>
        </w:rPr>
      </w:pP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spacing w:line="500" w:lineRule="exact"/>
        <w:ind w:firstLine="560"/>
        <w:rPr>
          <w:rFonts w:hint="eastAsia"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年定兴县纪委预算安排机关运行经费支出</w:t>
      </w:r>
      <w:r>
        <w:rPr>
          <w:rFonts w:hint="eastAsia" w:eastAsia="方正仿宋_GBK"/>
          <w:color w:val="000000"/>
          <w:sz w:val="28"/>
          <w:lang w:eastAsia="zh-CN"/>
        </w:rPr>
        <w:t>106.35</w:t>
      </w:r>
      <w:r>
        <w:rPr>
          <w:rFonts w:hint="eastAsia" w:eastAsia="方正仿宋_GBK"/>
          <w:color w:val="000000"/>
          <w:sz w:val="28"/>
        </w:rPr>
        <w:t>万元，其中包括办公费</w:t>
      </w:r>
      <w:r>
        <w:rPr>
          <w:rFonts w:hint="eastAsia" w:eastAsia="方正仿宋_GBK"/>
          <w:color w:val="000000"/>
          <w:sz w:val="28"/>
          <w:lang w:eastAsia="zh-CN"/>
        </w:rPr>
        <w:t>14.9</w:t>
      </w:r>
      <w:r>
        <w:rPr>
          <w:rFonts w:hint="eastAsia" w:eastAsia="方正仿宋_GBK"/>
          <w:color w:val="000000"/>
          <w:sz w:val="28"/>
        </w:rPr>
        <w:t>万元、邮电费</w:t>
      </w:r>
      <w:r>
        <w:rPr>
          <w:rFonts w:hint="eastAsia" w:eastAsia="方正仿宋_GBK"/>
          <w:color w:val="000000"/>
          <w:sz w:val="28"/>
          <w:lang w:eastAsia="zh-CN"/>
        </w:rPr>
        <w:t>14.8</w:t>
      </w:r>
      <w:r>
        <w:rPr>
          <w:rFonts w:hint="eastAsia" w:eastAsia="方正仿宋_GBK"/>
          <w:color w:val="000000"/>
          <w:sz w:val="28"/>
        </w:rPr>
        <w:t>万元、公务交通补贴</w:t>
      </w:r>
      <w:r>
        <w:rPr>
          <w:rFonts w:hint="eastAsia" w:eastAsia="方正仿宋_GBK"/>
          <w:color w:val="000000"/>
          <w:sz w:val="28"/>
          <w:lang w:eastAsia="zh-CN"/>
        </w:rPr>
        <w:t>51.36</w:t>
      </w:r>
      <w:r>
        <w:rPr>
          <w:rFonts w:hint="eastAsia" w:eastAsia="方正仿宋_GBK"/>
          <w:color w:val="000000"/>
          <w:sz w:val="28"/>
        </w:rPr>
        <w:t>万元、在职人员及退休人员福利费</w:t>
      </w:r>
      <w:r>
        <w:rPr>
          <w:rFonts w:hint="eastAsia" w:eastAsia="方正仿宋_GBK"/>
          <w:color w:val="000000"/>
          <w:sz w:val="28"/>
          <w:lang w:eastAsia="zh-CN"/>
        </w:rPr>
        <w:t>9.85</w:t>
      </w:r>
      <w:r>
        <w:rPr>
          <w:rFonts w:hint="eastAsia" w:eastAsia="方正仿宋_GBK"/>
          <w:color w:val="000000"/>
          <w:sz w:val="28"/>
        </w:rPr>
        <w:t>万元、招待费10万元、工会经费</w:t>
      </w:r>
      <w:r>
        <w:rPr>
          <w:rFonts w:hint="eastAsia" w:eastAsia="方正仿宋_GBK"/>
          <w:color w:val="000000"/>
          <w:sz w:val="28"/>
          <w:lang w:eastAsia="zh-CN"/>
        </w:rPr>
        <w:t>5.44</w:t>
      </w:r>
      <w:r>
        <w:rPr>
          <w:rFonts w:hint="eastAsia" w:eastAsia="方正仿宋_GBK"/>
          <w:color w:val="000000"/>
          <w:sz w:val="28"/>
        </w:rPr>
        <w:t>万元。</w:t>
      </w:r>
    </w:p>
    <w:p>
      <w:pPr>
        <w:spacing w:line="500" w:lineRule="exact"/>
        <w:ind w:firstLine="560"/>
        <w:rPr>
          <w:rFonts w:hint="eastAsia" w:eastAsia="方正仿宋_GBK"/>
          <w:color w:val="000000"/>
          <w:sz w:val="28"/>
        </w:rPr>
      </w:pPr>
    </w:p>
    <w:p>
      <w:pPr>
        <w:spacing w:before="10" w:after="10" w:line="360" w:lineRule="auto"/>
        <w:ind w:firstLine="640"/>
        <w:outlineLvl w:val="2"/>
        <w:rPr>
          <w:rFonts w:hint="eastAsia" w:ascii="黑体" w:hAnsi="黑体" w:eastAsia="黑体" w:cs="黑体"/>
          <w:color w:val="000000"/>
          <w:sz w:val="32"/>
          <w:lang w:eastAsia="zh-CN"/>
        </w:rPr>
      </w:pPr>
      <w:bookmarkStart w:id="12" w:name="_Toc_3_3_0000000013"/>
    </w:p>
    <w:p>
      <w:pPr>
        <w:spacing w:before="10" w:after="10" w:line="360" w:lineRule="auto"/>
        <w:ind w:firstLine="640"/>
        <w:outlineLvl w:val="2"/>
        <w:rPr>
          <w:rFonts w:hint="eastAsia" w:ascii="黑体" w:hAnsi="黑体" w:eastAsia="黑体" w:cs="黑体"/>
          <w:color w:val="000000"/>
          <w:sz w:val="32"/>
          <w:lang w:eastAsia="zh-CN"/>
        </w:rPr>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tbl>
      <w:tblPr>
        <w:tblStyle w:val="4"/>
        <w:tblW w:w="0" w:type="auto"/>
        <w:tblInd w:w="0" w:type="dxa"/>
        <w:tblLayout w:type="fixed"/>
        <w:tblCellMar>
          <w:top w:w="0" w:type="dxa"/>
          <w:left w:w="108" w:type="dxa"/>
          <w:bottom w:w="0" w:type="dxa"/>
          <w:right w:w="108" w:type="dxa"/>
        </w:tblCellMar>
      </w:tblPr>
      <w:tblGrid>
        <w:gridCol w:w="2136"/>
        <w:gridCol w:w="1717"/>
        <w:gridCol w:w="1717"/>
        <w:gridCol w:w="1177"/>
        <w:gridCol w:w="7298"/>
      </w:tblGrid>
      <w:tr>
        <w:tblPrEx>
          <w:tblCellMar>
            <w:top w:w="0" w:type="dxa"/>
            <w:left w:w="108" w:type="dxa"/>
            <w:bottom w:w="0" w:type="dxa"/>
            <w:right w:w="108" w:type="dxa"/>
          </w:tblCellMar>
        </w:tblPrEx>
        <w:trPr>
          <w:trHeight w:val="405" w:hRule="atLeast"/>
        </w:trPr>
        <w:tc>
          <w:tcPr>
            <w:tcW w:w="14045" w:type="dxa"/>
            <w:gridSpan w:val="5"/>
            <w:tcBorders>
              <w:top w:val="nil"/>
              <w:left w:val="nil"/>
              <w:bottom w:val="nil"/>
              <w:right w:val="nil"/>
            </w:tcBorders>
            <w:noWrap/>
            <w:vAlign w:val="center"/>
          </w:tcPr>
          <w:p>
            <w:pPr>
              <w:spacing w:line="540" w:lineRule="exact"/>
              <w:jc w:val="center"/>
              <w:rPr>
                <w:rFonts w:ascii="黑体" w:hAnsi="黑体" w:eastAsia="黑体" w:cs="宋体"/>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36" w:type="dxa"/>
            <w:tcBorders>
              <w:top w:val="nil"/>
              <w:left w:val="nil"/>
              <w:bottom w:val="nil"/>
              <w:right w:val="nil"/>
            </w:tcBorders>
            <w:noWrap/>
            <w:vAlign w:val="center"/>
          </w:tcPr>
          <w:p>
            <w:pPr>
              <w:spacing w:line="540" w:lineRule="exact"/>
              <w:rPr>
                <w:rFonts w:ascii="宋体" w:hAnsi="宋体" w:cs="宋体"/>
              </w:rPr>
            </w:pPr>
          </w:p>
        </w:tc>
        <w:tc>
          <w:tcPr>
            <w:tcW w:w="1717" w:type="dxa"/>
            <w:tcBorders>
              <w:top w:val="nil"/>
              <w:left w:val="nil"/>
              <w:bottom w:val="nil"/>
              <w:right w:val="nil"/>
            </w:tcBorders>
            <w:noWrap/>
            <w:vAlign w:val="center"/>
          </w:tcPr>
          <w:p>
            <w:pPr>
              <w:spacing w:line="540" w:lineRule="exact"/>
              <w:rPr>
                <w:rFonts w:ascii="宋体" w:hAnsi="宋体" w:cs="宋体"/>
              </w:rPr>
            </w:pPr>
          </w:p>
        </w:tc>
        <w:tc>
          <w:tcPr>
            <w:tcW w:w="1717" w:type="dxa"/>
            <w:tcBorders>
              <w:top w:val="nil"/>
              <w:left w:val="nil"/>
              <w:bottom w:val="nil"/>
              <w:right w:val="nil"/>
            </w:tcBorders>
            <w:noWrap/>
            <w:vAlign w:val="center"/>
          </w:tcPr>
          <w:p>
            <w:pPr>
              <w:spacing w:line="540" w:lineRule="exact"/>
              <w:rPr>
                <w:rFonts w:ascii="宋体" w:hAnsi="宋体" w:cs="宋体"/>
              </w:rPr>
            </w:pPr>
          </w:p>
        </w:tc>
        <w:tc>
          <w:tcPr>
            <w:tcW w:w="1177" w:type="dxa"/>
            <w:tcBorders>
              <w:top w:val="nil"/>
              <w:left w:val="nil"/>
              <w:bottom w:val="nil"/>
              <w:right w:val="nil"/>
            </w:tcBorders>
            <w:noWrap/>
            <w:vAlign w:val="center"/>
          </w:tcPr>
          <w:p>
            <w:pPr>
              <w:spacing w:line="540" w:lineRule="exact"/>
              <w:rPr>
                <w:rFonts w:ascii="宋体" w:hAnsi="宋体" w:cs="宋体"/>
              </w:rPr>
            </w:pPr>
          </w:p>
        </w:tc>
        <w:tc>
          <w:tcPr>
            <w:tcW w:w="7298" w:type="dxa"/>
            <w:tcBorders>
              <w:top w:val="nil"/>
              <w:left w:val="nil"/>
              <w:bottom w:val="nil"/>
              <w:right w:val="nil"/>
            </w:tcBorders>
            <w:noWrap/>
            <w:vAlign w:val="center"/>
          </w:tcPr>
          <w:p>
            <w:pPr>
              <w:spacing w:line="540" w:lineRule="exact"/>
              <w:jc w:val="right"/>
              <w:rPr>
                <w:rFonts w:ascii="宋体" w:hAnsi="宋体" w:cs="宋体"/>
              </w:rPr>
            </w:pPr>
            <w:r>
              <w:rPr>
                <w:rFonts w:hint="eastAsia" w:ascii="宋体" w:hAnsi="宋体" w:cs="宋体"/>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项目名称</w:t>
            </w:r>
          </w:p>
        </w:tc>
        <w:tc>
          <w:tcPr>
            <w:tcW w:w="1717" w:type="dxa"/>
            <w:tcBorders>
              <w:top w:val="single" w:color="auto" w:sz="4" w:space="0"/>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202</w:t>
            </w:r>
            <w:r>
              <w:rPr>
                <w:rFonts w:hint="eastAsia" w:ascii="方正书宋_GBK" w:hAnsi="方正书宋_GBK" w:eastAsia="方正书宋_GBK" w:cs="方正书宋_GBK"/>
                <w:sz w:val="21"/>
                <w:szCs w:val="24"/>
                <w:lang w:val="en-US" w:eastAsia="zh-CN" w:bidi="ar-SA"/>
              </w:rPr>
              <w:t>2</w:t>
            </w:r>
            <w:r>
              <w:rPr>
                <w:rFonts w:hint="eastAsia" w:ascii="方正书宋_GBK" w:hAnsi="方正书宋_GBK" w:eastAsia="方正书宋_GBK" w:cs="方正书宋_GBK"/>
                <w:sz w:val="21"/>
                <w:szCs w:val="24"/>
                <w:lang w:val="en-US" w:eastAsia="uk-UA" w:bidi="ar-SA"/>
              </w:rPr>
              <w:t>年度预算</w:t>
            </w:r>
          </w:p>
        </w:tc>
        <w:tc>
          <w:tcPr>
            <w:tcW w:w="1717" w:type="dxa"/>
            <w:tcBorders>
              <w:top w:val="single" w:color="auto" w:sz="4" w:space="0"/>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2021年度预算</w:t>
            </w:r>
          </w:p>
        </w:tc>
        <w:tc>
          <w:tcPr>
            <w:tcW w:w="1177" w:type="dxa"/>
            <w:tcBorders>
              <w:top w:val="single" w:color="auto" w:sz="4" w:space="0"/>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增减金额</w:t>
            </w:r>
          </w:p>
        </w:tc>
        <w:tc>
          <w:tcPr>
            <w:tcW w:w="7298" w:type="dxa"/>
            <w:tcBorders>
              <w:top w:val="single" w:color="auto" w:sz="4" w:space="0"/>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变化原因</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因公出国经费</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0</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0</w:t>
            </w:r>
          </w:p>
        </w:tc>
        <w:tc>
          <w:tcPr>
            <w:tcW w:w="117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0</w:t>
            </w:r>
          </w:p>
        </w:tc>
        <w:tc>
          <w:tcPr>
            <w:tcW w:w="7298" w:type="dxa"/>
            <w:tcBorders>
              <w:top w:val="nil"/>
              <w:left w:val="nil"/>
              <w:bottom w:val="single" w:color="auto" w:sz="4" w:space="0"/>
              <w:right w:val="single" w:color="auto" w:sz="4" w:space="0"/>
            </w:tcBorders>
            <w:noWrap/>
            <w:vAlign w:val="center"/>
          </w:tcPr>
          <w:p>
            <w:pPr>
              <w:spacing w:line="540" w:lineRule="exac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无增减变化</w:t>
            </w:r>
          </w:p>
        </w:tc>
      </w:tr>
      <w:tr>
        <w:tblPrEx>
          <w:tblCellMar>
            <w:top w:w="0" w:type="dxa"/>
            <w:left w:w="108" w:type="dxa"/>
            <w:bottom w:w="0" w:type="dxa"/>
            <w:right w:w="108" w:type="dxa"/>
          </w:tblCellMar>
        </w:tblPrEx>
        <w:trPr>
          <w:trHeight w:val="555" w:hRule="atLeast"/>
        </w:trPr>
        <w:tc>
          <w:tcPr>
            <w:tcW w:w="2136" w:type="dxa"/>
            <w:tcBorders>
              <w:top w:val="nil"/>
              <w:left w:val="single" w:color="auto" w:sz="4" w:space="0"/>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公务用车购置经费</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24</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0</w:t>
            </w:r>
          </w:p>
        </w:tc>
        <w:tc>
          <w:tcPr>
            <w:tcW w:w="117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w:t>
            </w:r>
            <w:r>
              <w:rPr>
                <w:rFonts w:hint="eastAsia" w:ascii="方正书宋_GBK" w:hAnsi="方正书宋_GBK" w:eastAsia="方正书宋_GBK" w:cs="方正书宋_GBK"/>
                <w:sz w:val="21"/>
                <w:szCs w:val="24"/>
                <w:lang w:val="en-US" w:eastAsia="uk-UA" w:bidi="ar-SA"/>
              </w:rPr>
              <w:t>2</w:t>
            </w:r>
            <w:r>
              <w:rPr>
                <w:rFonts w:hint="eastAsia" w:ascii="方正书宋_GBK" w:hAnsi="方正书宋_GBK" w:eastAsia="方正书宋_GBK" w:cs="方正书宋_GBK"/>
                <w:sz w:val="21"/>
                <w:szCs w:val="24"/>
                <w:lang w:val="en-US" w:eastAsia="zh-CN" w:bidi="ar-SA"/>
              </w:rPr>
              <w:t>4</w:t>
            </w:r>
          </w:p>
        </w:tc>
        <w:tc>
          <w:tcPr>
            <w:tcW w:w="7298" w:type="dxa"/>
            <w:tcBorders>
              <w:top w:val="nil"/>
              <w:left w:val="nil"/>
              <w:bottom w:val="single" w:color="auto" w:sz="4" w:space="0"/>
              <w:right w:val="single" w:color="auto" w:sz="4" w:space="0"/>
            </w:tcBorders>
            <w:noWrap/>
            <w:vAlign w:val="center"/>
          </w:tcPr>
          <w:p>
            <w:pPr>
              <w:spacing w:line="540" w:lineRule="exac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有2辆</w:t>
            </w:r>
            <w:r>
              <w:rPr>
                <w:rFonts w:hint="eastAsia" w:ascii="方正书宋_GBK" w:hAnsi="方正书宋_GBK" w:eastAsia="方正书宋_GBK" w:cs="方正书宋_GBK"/>
                <w:sz w:val="21"/>
                <w:szCs w:val="24"/>
                <w:lang w:val="en-US" w:eastAsia="uk-UA" w:bidi="ar-SA"/>
              </w:rPr>
              <w:t>旧车</w:t>
            </w:r>
            <w:r>
              <w:rPr>
                <w:rFonts w:hint="eastAsia" w:ascii="方正书宋_GBK" w:hAnsi="方正书宋_GBK" w:eastAsia="方正书宋_GBK" w:cs="方正书宋_GBK"/>
                <w:sz w:val="21"/>
                <w:szCs w:val="24"/>
                <w:lang w:val="en-US" w:eastAsia="zh-CN" w:bidi="ar-SA"/>
              </w:rPr>
              <w:t>已无法</w:t>
            </w:r>
            <w:r>
              <w:rPr>
                <w:rFonts w:hint="eastAsia" w:ascii="方正书宋_GBK" w:hAnsi="方正书宋_GBK" w:eastAsia="方正书宋_GBK" w:cs="方正书宋_GBK"/>
                <w:sz w:val="21"/>
                <w:szCs w:val="24"/>
                <w:lang w:val="en-US" w:eastAsia="uk-UA" w:bidi="ar-SA"/>
              </w:rPr>
              <w:t>修理，</w:t>
            </w:r>
            <w:r>
              <w:rPr>
                <w:rFonts w:hint="eastAsia" w:ascii="方正书宋_GBK" w:hAnsi="方正书宋_GBK" w:eastAsia="方正书宋_GBK" w:cs="方正书宋_GBK"/>
                <w:sz w:val="21"/>
                <w:szCs w:val="24"/>
                <w:lang w:val="en-US" w:eastAsia="zh-CN" w:bidi="ar-SA"/>
              </w:rPr>
              <w:t>不能</w:t>
            </w:r>
            <w:r>
              <w:rPr>
                <w:rFonts w:hint="eastAsia" w:ascii="方正书宋_GBK" w:hAnsi="方正书宋_GBK" w:eastAsia="方正书宋_GBK" w:cs="方正书宋_GBK"/>
                <w:sz w:val="21"/>
                <w:szCs w:val="24"/>
                <w:lang w:val="en-US" w:eastAsia="uk-UA" w:bidi="ar-SA"/>
              </w:rPr>
              <w:t>满足办案工作需要。</w:t>
            </w:r>
          </w:p>
        </w:tc>
      </w:tr>
      <w:tr>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公务用车运行经费</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35</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59</w:t>
            </w:r>
          </w:p>
        </w:tc>
        <w:tc>
          <w:tcPr>
            <w:tcW w:w="117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-24</w:t>
            </w:r>
          </w:p>
        </w:tc>
        <w:tc>
          <w:tcPr>
            <w:tcW w:w="7298" w:type="dxa"/>
            <w:tcBorders>
              <w:top w:val="nil"/>
              <w:left w:val="nil"/>
              <w:bottom w:val="single" w:color="auto" w:sz="4" w:space="0"/>
              <w:right w:val="single" w:color="auto" w:sz="4" w:space="0"/>
            </w:tcBorders>
            <w:noWrap/>
            <w:vAlign w:val="center"/>
          </w:tcPr>
          <w:p>
            <w:pPr>
              <w:spacing w:line="540" w:lineRule="exac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zh-CN" w:bidi="ar-SA"/>
              </w:rPr>
              <w:t>新购置车辆减少</w:t>
            </w:r>
            <w:r>
              <w:rPr>
                <w:rFonts w:hint="eastAsia" w:ascii="方正书宋_GBK" w:hAnsi="方正书宋_GBK" w:eastAsia="方正书宋_GBK" w:cs="方正书宋_GBK"/>
                <w:sz w:val="21"/>
                <w:szCs w:val="24"/>
                <w:lang w:val="en-US" w:eastAsia="uk-UA" w:bidi="ar-SA"/>
              </w:rPr>
              <w:t>旧车老化修理费用。</w:t>
            </w:r>
          </w:p>
        </w:tc>
      </w:tr>
      <w:tr>
        <w:tblPrEx>
          <w:tblCellMar>
            <w:top w:w="0" w:type="dxa"/>
            <w:left w:w="108" w:type="dxa"/>
            <w:bottom w:w="0" w:type="dxa"/>
            <w:right w:w="108" w:type="dxa"/>
          </w:tblCellMar>
        </w:tblPrEx>
        <w:trPr>
          <w:trHeight w:val="510" w:hRule="atLeast"/>
        </w:trPr>
        <w:tc>
          <w:tcPr>
            <w:tcW w:w="2136" w:type="dxa"/>
            <w:tcBorders>
              <w:top w:val="nil"/>
              <w:left w:val="single" w:color="auto" w:sz="4" w:space="0"/>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公务接待费支出</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20</w:t>
            </w:r>
          </w:p>
        </w:tc>
        <w:tc>
          <w:tcPr>
            <w:tcW w:w="117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w:t>
            </w:r>
          </w:p>
        </w:tc>
        <w:tc>
          <w:tcPr>
            <w:tcW w:w="7298" w:type="dxa"/>
            <w:tcBorders>
              <w:top w:val="nil"/>
              <w:left w:val="nil"/>
              <w:bottom w:val="single" w:color="auto" w:sz="4" w:space="0"/>
              <w:right w:val="single" w:color="auto" w:sz="4" w:space="0"/>
            </w:tcBorders>
            <w:noWrap/>
            <w:vAlign w:val="center"/>
          </w:tcPr>
          <w:p>
            <w:pPr>
              <w:spacing w:line="540" w:lineRule="exact"/>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严格执行中央八项规定，节约招待支出</w:t>
            </w:r>
          </w:p>
        </w:tc>
      </w:tr>
      <w:tr>
        <w:tblPrEx>
          <w:tblCellMar>
            <w:top w:w="0" w:type="dxa"/>
            <w:left w:w="108" w:type="dxa"/>
            <w:bottom w:w="0" w:type="dxa"/>
            <w:right w:w="108" w:type="dxa"/>
          </w:tblCellMar>
        </w:tblPrEx>
        <w:trPr>
          <w:trHeight w:val="750" w:hRule="atLeast"/>
        </w:trPr>
        <w:tc>
          <w:tcPr>
            <w:tcW w:w="2136" w:type="dxa"/>
            <w:tcBorders>
              <w:top w:val="nil"/>
              <w:left w:val="single" w:color="auto" w:sz="4" w:space="0"/>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培训费</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14</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4</w:t>
            </w:r>
          </w:p>
        </w:tc>
        <w:tc>
          <w:tcPr>
            <w:tcW w:w="117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+10</w:t>
            </w:r>
          </w:p>
        </w:tc>
        <w:tc>
          <w:tcPr>
            <w:tcW w:w="7298" w:type="dxa"/>
            <w:tcBorders>
              <w:top w:val="nil"/>
              <w:left w:val="nil"/>
              <w:bottom w:val="single" w:color="auto" w:sz="4" w:space="0"/>
              <w:right w:val="single" w:color="auto" w:sz="4" w:space="0"/>
            </w:tcBorders>
            <w:noWrap/>
            <w:vAlign w:val="center"/>
          </w:tcPr>
          <w:p>
            <w:pPr>
              <w:spacing w:line="540" w:lineRule="exact"/>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今年需要开展很多业务培训工作。</w:t>
            </w:r>
          </w:p>
        </w:tc>
      </w:tr>
      <w:tr>
        <w:tblPrEx>
          <w:tblCellMar>
            <w:top w:w="0" w:type="dxa"/>
            <w:left w:w="108" w:type="dxa"/>
            <w:bottom w:w="0" w:type="dxa"/>
            <w:right w:w="108" w:type="dxa"/>
          </w:tblCellMar>
        </w:tblPrEx>
        <w:trPr>
          <w:trHeight w:val="740" w:hRule="atLeast"/>
        </w:trPr>
        <w:tc>
          <w:tcPr>
            <w:tcW w:w="2136" w:type="dxa"/>
            <w:tcBorders>
              <w:top w:val="nil"/>
              <w:left w:val="single" w:color="auto" w:sz="4" w:space="0"/>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合计</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83</w:t>
            </w:r>
          </w:p>
        </w:tc>
        <w:tc>
          <w:tcPr>
            <w:tcW w:w="171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83</w:t>
            </w:r>
          </w:p>
        </w:tc>
        <w:tc>
          <w:tcPr>
            <w:tcW w:w="1177" w:type="dxa"/>
            <w:tcBorders>
              <w:top w:val="nil"/>
              <w:left w:val="nil"/>
              <w:bottom w:val="single" w:color="auto" w:sz="4" w:space="0"/>
              <w:right w:val="single" w:color="auto" w:sz="4" w:space="0"/>
            </w:tcBorders>
            <w:noWrap/>
            <w:vAlign w:val="center"/>
          </w:tcPr>
          <w:p>
            <w:pPr>
              <w:spacing w:line="540" w:lineRule="exact"/>
              <w:jc w:val="center"/>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0</w:t>
            </w:r>
          </w:p>
        </w:tc>
        <w:tc>
          <w:tcPr>
            <w:tcW w:w="7298" w:type="dxa"/>
            <w:tcBorders>
              <w:top w:val="nil"/>
              <w:left w:val="nil"/>
              <w:bottom w:val="single" w:color="auto" w:sz="4" w:space="0"/>
              <w:right w:val="single" w:color="auto" w:sz="4" w:space="0"/>
            </w:tcBorders>
            <w:noWrap/>
            <w:vAlign w:val="center"/>
          </w:tcPr>
          <w:p>
            <w:pPr>
              <w:spacing w:line="540" w:lineRule="exact"/>
              <w:rPr>
                <w:rFonts w:ascii="方正书宋_GBK" w:hAnsi="方正书宋_GBK" w:eastAsia="方正书宋_GBK" w:cs="方正书宋_GBK"/>
                <w:sz w:val="21"/>
                <w:szCs w:val="24"/>
                <w:lang w:val="en-US" w:eastAsia="uk-UA" w:bidi="ar-SA"/>
              </w:rPr>
            </w:pPr>
            <w:r>
              <w:rPr>
                <w:rFonts w:hint="eastAsia" w:ascii="方正书宋_GBK" w:hAnsi="方正书宋_GBK" w:eastAsia="方正书宋_GBK" w:cs="方正书宋_GBK"/>
                <w:sz w:val="21"/>
                <w:szCs w:val="24"/>
                <w:lang w:val="en-US" w:eastAsia="uk-UA" w:bidi="ar-SA"/>
              </w:rPr>
              <w:t>无增减变化</w:t>
            </w:r>
          </w:p>
        </w:tc>
      </w:tr>
    </w:tbl>
    <w:p>
      <w:pPr>
        <w:pStyle w:val="21"/>
      </w:pPr>
    </w:p>
    <w:p>
      <w:pPr>
        <w:pStyle w:val="21"/>
      </w:pPr>
    </w:p>
    <w:p>
      <w:pPr>
        <w:pStyle w:val="21"/>
      </w:pPr>
    </w:p>
    <w:p>
      <w:pPr>
        <w:pStyle w:val="21"/>
      </w:pPr>
    </w:p>
    <w:p>
      <w:pPr>
        <w:pStyle w:val="21"/>
      </w:pPr>
    </w:p>
    <w:p>
      <w:pPr>
        <w:pStyle w:val="21"/>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2"/>
      </w:pPr>
      <w:r>
        <w:t>2022年，县纪委监委将通过构建“1336”工作体系，即着力打造一个工程、全面深化“三不”机制、探索推进三个亮点、做实做细六项监督，精准有效地发挥监督保障执行、促进完善发展作用，一体推进不敢腐不能腐不想腐，持续巩固发展反腐败斗争压倒性胜利，为落实县委“十四五”规划营造良好政治生态和发展环境。</w:t>
      </w:r>
    </w:p>
    <w:p>
      <w:pPr>
        <w:spacing w:line="500" w:lineRule="exact"/>
        <w:ind w:firstLine="560"/>
      </w:pPr>
      <w:r>
        <w:rPr>
          <w:rFonts w:eastAsia="方正仿宋_GBK"/>
          <w:color w:val="000000"/>
          <w:sz w:val="28"/>
        </w:rPr>
        <w:t>（二）分项绩效目标</w:t>
      </w:r>
    </w:p>
    <w:p>
      <w:pPr>
        <w:pStyle w:val="23"/>
      </w:pPr>
      <w:r>
        <w:t>着力打造一个工程即打造纪检监察干部“铁军锻造工程”。以加强政治教育为抓手，切实推动政治能力“再教育”。持续加强县纪委常委会自身建设，引领全县纪检监察干部强化理论学习，不断提高政治判断力、政治领悟力、政治执行力。以加强全员培训为抓手，切实推动业务本领“再教育”。健全完善“每周一课”和“每天一小时”学习制度，继续采取网络课堂、专题测试、自主办班等方式分级分类深化全员培训工作。以加强自我监督为抓手，切实推动作风纪律“再教育”。继续秉承“作风纪律整顿月”活动中的真抓实做精神，健全完善纪委监委接受各方面监督体制机制，制定完善纪检监察干部监督工作办法，加强审查调查措施监管，持续整治“灯下黑”。</w:t>
      </w:r>
    </w:p>
    <w:p>
      <w:pPr>
        <w:pStyle w:val="23"/>
      </w:pPr>
      <w:r>
        <w:t>全面深化“三不”机制即着力构建一体推进不敢腐、不能腐、不想腐体制机制。持续加大“不敢腐”的力度。聚焦投资密集、资源集中的领域和环节，坚决查处基础设施建设、项目审批、公共资源交易、城中村拆迁改造等方面的腐败问题。持续提升“不能腐”的强度。将正风肃纪反腐与深化改革、完善制度、促进治理有机贯通，用好向党委报告、下发纪检监察建议等措施，推动以案促改、以案促治工作常态化制度化。持续扩大“不想腐”的广度。着力加强廉洁文化建设，高站位、小切口做好宣传工作，引导党员干部筑牢思想防线、守好行为底线。</w:t>
      </w:r>
    </w:p>
    <w:p>
      <w:pPr>
        <w:pStyle w:val="23"/>
      </w:pPr>
      <w:r>
        <w:t>探索推进三个亮点即探索推进优化营商环境“企业家半月谈”机制、清廉家风志愿服务活动和定兴县规范村级权力运行监督平台三个亮点工作。优化营商环境“企业家半月谈”机制。以“两会一访一报”为抓手，通过交流恳谈会、问题交办会、入企大走访、印发一份报，进一步规范服务企业家的方式举措，切实提升主动监督、精准监督水平，打通营商环境“中梗阻”，着力破解“小鬼难缠”顽疾，“零容忍”惩治损害营商环境的行为。清廉家风志愿服务活动。通过建设一支政治素质过硬、理论功底深厚、宣讲水平高的300-500名志愿者组成的“金台廉韵”清廉家风志愿服务宣讲团，以党员领导干部为重点对象，以开展清廉家风进机关、进社区、进家庭、进学校、进企业、进农村活动为主要抓手，全面讲述先贤家风、红色家风、当代好家教、时代新家风，积极引导领导干部牢固树立新时代家庭观。定兴县规范乡村权力运行监督平台。以健全推广定兴县规范乡村权力运行监督平台为抓手，对村两委党员发展、资源资产处置、资金审批使用和乡镇行政审批、行政执法等重要事项的运行流程、责任主体、行使时限等关键内容进行全方位、全流程公开，着力推动乡村权力规范化运行。</w:t>
      </w:r>
    </w:p>
    <w:p>
      <w:pPr>
        <w:pStyle w:val="23"/>
      </w:pPr>
      <w:r>
        <w:t>做实做细六项监督即做实做好政治监督、作风监督、巡察监督、派驻监督、日常监督、专项监督等六项监督工作。扎实做好政治监督。围绕县第十五次党代会“大干‘十四五’、五年翻一番”“一区一谷一高地、一城一河一机场”工作部署，围绕巩固拓展疫情防控和经济社会发展成果等重点任务，围绕保障京津冀协同发展、服务雄安新区建设，跟进监督、精准监督、全程监督。扎实做好作风监督。锲而不舍落实中央八项规定及其实施细则精神，将纠治形式主义、官僚主义问题贯穿于各类专项整治和日常监督检查；坚持纠“四风”树新风并举，对反复出现、普遍发生的问题，从制度机制上查找原因，督促职能部门完善制度、优化治理。扎实做好巡察监督。全力做好十五届县委巡察工作的开局工作，深入查找政治偏差。健全纪检监察机关加强对巡视巡察整改落实情况日常监督的工作机制，探索建立整改促进机制、评估机制，推动监督、整改、治理有机贯通。扎实做好派驻监督。推动派驻机构改革走深走实，围绕监督检查、审查调查等关键环节，健全完善请示报告、沟通会商、履职考核、工作例会、约谈提醒等制度措施，提升派驻监督工作质效。扎实做好日常监督。做实日常监督、包联监督，探索联动监督、协同监督有效方法，综合运用走访、调研、督查、谈心谈话、约谈提醒等方式方法，推动监督下沉、监督落地、监督于问题未发之时。扎实做好专项监督。深入开展整治群众身边腐败和不正之风工作，持续纠治教育医疗、养老社保、等领域腐败和作风问题，坚决惩处涉黑涉恶“保护伞”，让群众获得感成色更足、幸福感更可持续、安全感更有保障。</w:t>
      </w:r>
    </w:p>
    <w:p>
      <w:pPr>
        <w:spacing w:line="500" w:lineRule="exact"/>
        <w:ind w:firstLine="560"/>
      </w:pPr>
      <w:r>
        <w:rPr>
          <w:rFonts w:eastAsia="方正仿宋_GBK"/>
          <w:color w:val="000000"/>
          <w:sz w:val="28"/>
        </w:rPr>
        <w:t>（三）工作保障措施</w:t>
      </w:r>
    </w:p>
    <w:p>
      <w:pPr>
        <w:pStyle w:val="24"/>
      </w:pPr>
      <w:r>
        <w:t>一是强化对权力运行的制约和监督，探索推进纪律监督、监察监督、派驻监督、巡视监督统筹衔接的有效办法，加强纪检监察机关监督检查部门、派驻纪检监察组、巡视巡察机构之间的信息互通、监督互动，健全信息沟通、线索移送、措施配合、成果共享等工作机制，汇聚监督合力；积极推进纪检监察监督同人大监督、民主监督、行政监督、司法监督、群众监督、舆论监督以及审计监督、统计监督有效衔接，推进监督内容贯通、监督形式对接，研究探索发挥县委反腐败协调小组作用的有力措施，健全案件线索移送制度和督导协调机制，增强监督实效。进一步加强同级监督，按照省市纪委监委指示精神，研究制定加强和改进同级监督相关规定，明确和细化党委及其主要负责人、班子成员、同级纪委监委三类监督主体的监督职责，探索制定加强对“关键少数”干部教育管理监督的规定，着力破解对“关键少数”尤其是“一把手”监督难问题。进一步强化警示教育工作，提高政治性警示教育大会、典型案例通报曝光会召开频次，加大对全县各级党组织廉政教育工作部署开展情况抽查力度，进一步完善备案及情况通报制度。</w:t>
      </w:r>
    </w:p>
    <w:p>
      <w:pPr>
        <w:pStyle w:val="24"/>
      </w:pPr>
      <w:r>
        <w:t>二是认真落实不忘初心、牢记使命制度，加强对新形势下党内政治生活若干准则等法规制度执行情况的监督检查，督促各级党员干部深化理想信念教育和对党忠诚教育，严守党章党规党纪，严肃党内政治生活，认真落实民主集中制原则，注重家庭家风家教，保持亲清新型政商关系。</w:t>
      </w:r>
    </w:p>
    <w:p>
      <w:pPr>
        <w:pStyle w:val="24"/>
      </w:pPr>
      <w:r>
        <w:t>三是整合规范纪检监察工作流程，强化内部权力运行的监督制约，认真执行监督执纪工作规则、监督执法工作规定，持续推进执纪执法贯通、有效衔接司法，健全统一决策、一体运行的执纪执法工作机制，健全完善各项规则和配套法规，严格依规依纪依法开展工作。深化纪检监察机构改革，在更深层次、更高水平上深化转职能、转方式、转作风，深入推进全县党和国家机关派驻机构改革，健全派驻领导体制和派驻纪检监察组内部工作机制，加强对派驻干部的教育培训、管理监督和考核评价，提高派驻监督质量，更好发挥“派”的权威和“驻”的优势。</w:t>
      </w:r>
    </w:p>
    <w:p>
      <w:pPr>
        <w:pStyle w:val="24"/>
      </w:pPr>
      <w:r>
        <w:t>四是着力强化日常监督。建立健全长效机制，针对突出问题、共性问题、反复出现的问题，推动有关单位部门不断完善细化规章制度，将行为“红线”具体化规范化。健全强化日常监督的制度机制，完善县管干部廉政档案，积极推进日常监督具体化、常态化。健全谈话函询机制，按照省市纪委监委指示精神，探索制定领导干部根据职责分工与分管系统干部谈话制度，明确谈话对象，列出谈话清单，有力有序推进。</w:t>
      </w:r>
    </w:p>
    <w:p>
      <w:pPr>
        <w:pStyle w:val="24"/>
      </w:pPr>
      <w:r>
        <w:t>五是持续查办一批典型案件，对十八大以后不收敛、不收手，特别是十九大后仍不知止、胆大妄为的，发现一起、查处一起，将反腐败斗争进行到底。开展专题培训，规范硬件设施，健全制度机制，强化安全措施，切实提升审查调查安全工作水平。深入做好审查调查“后半篇文章”，抓实处分决定送达、执行、回访，用好纪检监察建议书推动相关单位部门整改解决问题, 深化以案促改、以案为鉴，切实发挥查办案件的治本作用。</w:t>
      </w:r>
    </w:p>
    <w:p>
      <w:pPr>
        <w:pStyle w:val="24"/>
      </w:pPr>
      <w:r>
        <w:t>六是着力强化专项整治。坚决整治民生领域腐败和作风问题，聚焦群众操心事、烦心事、揪心事，做深做实基层监督，在教育医疗、环境保护、食品药品和安全生产、冬季清洁取暖、农民工工资、房地产领域、老旧小区改造等方面进行清理规范，严肃查处基层干部吃拿卡要、优亲厚友等行为。坚持“一案三查”，坚决查处涉黑涉恶腐败和“关系网”“保护伞”，紧盯涉黑涉恶重大案件、黑恶势力经济基础，严肃查处“村霸”、宗族势力和黄赌毒背后的腐败行为。深化扶贫领域腐败和作风问题专项治理，严肃查处整治贯彻落实党中央脱贫攻坚决策部署不力问题，集中整治虚假脱贫问题，严厉惩治贪污侵占、虚报冒领、截留挪用、套取骗取扶贫资金等违纪违法行为，确保如期高质量完成脱贫攻坚任务。</w:t>
      </w:r>
    </w:p>
    <w:p>
      <w:pPr>
        <w:pStyle w:val="24"/>
      </w:pPr>
      <w:r>
        <w:t>七是开展“转作风、强本领、提效能、促落实”能力素质提升专项活动，以学习贯彻十九届四中全会和中央省市纪委全会精神为抓手，深化全员培训力度，健全大培训工作机制，提升全县纪检监察干部运用政策理论、日常监督、审查调查等能力。加大遴选调配、轮岗交流力度，注重选拔专业化人才，注重培养锻炼优秀干部。完善自身权力运行机制和管理监督制约体系，打造让党放心、人民信赖的纪检监察铁军。</w:t>
      </w:r>
    </w:p>
    <w:p>
      <w:pPr>
        <w:pStyle w:val="24"/>
      </w:pPr>
    </w:p>
    <w:p>
      <w:pPr>
        <w:numPr>
          <w:ilvl w:val="0"/>
          <w:numId w:val="1"/>
        </w:num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rPr>
          <w:rFonts w:ascii="方正楷体_GBK" w:hAnsi="方正楷体_GBK" w:eastAsia="方正楷体_GBK" w:cs="方正楷体_GBK"/>
          <w:b/>
          <w:color w:val="000000"/>
          <w:sz w:val="32"/>
        </w:rPr>
      </w:pPr>
    </w:p>
    <w:p>
      <w:pPr>
        <w:ind w:firstLine="640"/>
        <w:rPr>
          <w:rFonts w:eastAsia="方正仿宋_GBK"/>
          <w:sz w:val="28"/>
          <w:lang w:eastAsia="zh-CN"/>
        </w:rPr>
      </w:pPr>
      <w:r>
        <w:rPr>
          <w:rFonts w:hint="eastAsia" w:eastAsia="方正仿宋_GBK"/>
          <w:sz w:val="28"/>
          <w:lang w:eastAsia="zh-CN"/>
        </w:rPr>
        <w:t>我单位无专项资金预算。</w:t>
      </w:r>
    </w:p>
    <w:p>
      <w:pPr>
        <w:ind w:firstLine="640"/>
        <w:rPr>
          <w:rFonts w:eastAsia="方正仿宋_GBK"/>
          <w:sz w:val="28"/>
          <w:lang w:eastAsia="zh-CN"/>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1、大要案工作经费绩效目标表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1.合理安排财政资金支出计划120万元，遵循单位财务规章制度，在预算内按进度支出；保障办案费用支出，服务于全年目标任务。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保障办案工作正常开展</w:t>
            </w:r>
          </w:p>
        </w:tc>
        <w:tc>
          <w:tcPr>
            <w:tcW w:w="2835" w:type="dxa"/>
            <w:vAlign w:val="center"/>
          </w:tcPr>
          <w:p>
            <w:pPr>
              <w:pStyle w:val="13"/>
            </w:pPr>
            <w:r>
              <w:t>保障办案工作正常运转，完成全年目标任务</w:t>
            </w:r>
          </w:p>
        </w:tc>
        <w:tc>
          <w:tcPr>
            <w:tcW w:w="2551" w:type="dxa"/>
            <w:vAlign w:val="center"/>
          </w:tcPr>
          <w:p>
            <w:pPr>
              <w:pStyle w:val="13"/>
            </w:pPr>
            <w:r>
              <w:t>≥8小时</w:t>
            </w:r>
          </w:p>
        </w:tc>
        <w:tc>
          <w:tcPr>
            <w:tcW w:w="2268" w:type="dxa"/>
            <w:vAlign w:val="center"/>
          </w:tcPr>
          <w:p>
            <w:pPr>
              <w:pStyle w:val="13"/>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2835" w:type="dxa"/>
            <w:vAlign w:val="center"/>
          </w:tcPr>
          <w:p>
            <w:pPr>
              <w:pStyle w:val="13"/>
            </w:pPr>
            <w:r>
              <w:t>经费专款专用，支出合理合规</w:t>
            </w:r>
          </w:p>
        </w:tc>
        <w:tc>
          <w:tcPr>
            <w:tcW w:w="2551" w:type="dxa"/>
            <w:vAlign w:val="center"/>
          </w:tcPr>
          <w:p>
            <w:pPr>
              <w:pStyle w:val="13"/>
            </w:pPr>
            <w:r>
              <w:t>＝100%</w:t>
            </w:r>
          </w:p>
        </w:tc>
        <w:tc>
          <w:tcPr>
            <w:tcW w:w="2268" w:type="dxa"/>
            <w:vAlign w:val="center"/>
          </w:tcPr>
          <w:p>
            <w:pPr>
              <w:pStyle w:val="13"/>
            </w:pPr>
            <w:r>
              <w:t>符合财务管理制度和内控制度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2835" w:type="dxa"/>
            <w:vAlign w:val="center"/>
          </w:tcPr>
          <w:p>
            <w:pPr>
              <w:pStyle w:val="13"/>
            </w:pPr>
            <w:r>
              <w:t>按照时间进度及时按时支付资金情况</w:t>
            </w:r>
          </w:p>
        </w:tc>
        <w:tc>
          <w:tcPr>
            <w:tcW w:w="2551" w:type="dxa"/>
            <w:vAlign w:val="center"/>
          </w:tcPr>
          <w:p>
            <w:pPr>
              <w:pStyle w:val="13"/>
            </w:pPr>
            <w:r>
              <w:t>≥90%</w:t>
            </w:r>
          </w:p>
        </w:tc>
        <w:tc>
          <w:tcPr>
            <w:tcW w:w="2268" w:type="dxa"/>
            <w:vAlign w:val="center"/>
          </w:tcPr>
          <w:p>
            <w:pPr>
              <w:pStyle w:val="13"/>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各项经费成本控制</w:t>
            </w:r>
          </w:p>
        </w:tc>
        <w:tc>
          <w:tcPr>
            <w:tcW w:w="2835" w:type="dxa"/>
            <w:vAlign w:val="center"/>
          </w:tcPr>
          <w:p>
            <w:pPr>
              <w:pStyle w:val="13"/>
            </w:pPr>
            <w:r>
              <w:t>严格控制经费成本，不超预算120万元。</w:t>
            </w:r>
          </w:p>
        </w:tc>
        <w:tc>
          <w:tcPr>
            <w:tcW w:w="2551" w:type="dxa"/>
            <w:vAlign w:val="center"/>
          </w:tcPr>
          <w:p>
            <w:pPr>
              <w:pStyle w:val="13"/>
            </w:pPr>
            <w:r>
              <w:t>≤120万元</w:t>
            </w:r>
          </w:p>
        </w:tc>
        <w:tc>
          <w:tcPr>
            <w:tcW w:w="2268" w:type="dxa"/>
            <w:vAlign w:val="center"/>
          </w:tcPr>
          <w:p>
            <w:pPr>
              <w:pStyle w:val="13"/>
            </w:pPr>
            <w:r>
              <w:t>固定标准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发挥财政资金使用效益</w:t>
            </w:r>
          </w:p>
        </w:tc>
        <w:tc>
          <w:tcPr>
            <w:tcW w:w="2835" w:type="dxa"/>
            <w:vAlign w:val="center"/>
          </w:tcPr>
          <w:p>
            <w:pPr>
              <w:pStyle w:val="13"/>
            </w:pPr>
            <w:r>
              <w:t>压缩开支，节约成本，使财政资金发挥最大的效益。</w:t>
            </w:r>
          </w:p>
        </w:tc>
        <w:tc>
          <w:tcPr>
            <w:tcW w:w="2551" w:type="dxa"/>
            <w:vAlign w:val="center"/>
          </w:tcPr>
          <w:p>
            <w:pPr>
              <w:pStyle w:val="13"/>
            </w:pPr>
            <w:r>
              <w:t>效果显著</w:t>
            </w:r>
          </w:p>
        </w:tc>
        <w:tc>
          <w:tcPr>
            <w:tcW w:w="2268" w:type="dxa"/>
            <w:vAlign w:val="center"/>
          </w:tcPr>
          <w:p>
            <w:pPr>
              <w:pStyle w:val="13"/>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正常办案质量保障率</w:t>
            </w:r>
          </w:p>
        </w:tc>
        <w:tc>
          <w:tcPr>
            <w:tcW w:w="2835" w:type="dxa"/>
            <w:vAlign w:val="center"/>
          </w:tcPr>
          <w:p>
            <w:pPr>
              <w:pStyle w:val="13"/>
            </w:pPr>
            <w:r>
              <w:t>反映财政资金支持保障办案工作所需。</w:t>
            </w:r>
          </w:p>
        </w:tc>
        <w:tc>
          <w:tcPr>
            <w:tcW w:w="2551" w:type="dxa"/>
            <w:vAlign w:val="center"/>
          </w:tcPr>
          <w:p>
            <w:pPr>
              <w:pStyle w:val="13"/>
            </w:pPr>
            <w:r>
              <w:t>≥90%</w:t>
            </w:r>
          </w:p>
        </w:tc>
        <w:tc>
          <w:tcPr>
            <w:tcW w:w="2268" w:type="dxa"/>
            <w:vAlign w:val="center"/>
          </w:tcPr>
          <w:p>
            <w:pPr>
              <w:pStyle w:val="13"/>
            </w:pPr>
            <w:r>
              <w:t>维护办案工作办公秩序，保障公职人员履职需要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使用节能减排产品</w:t>
            </w:r>
          </w:p>
        </w:tc>
        <w:tc>
          <w:tcPr>
            <w:tcW w:w="2835" w:type="dxa"/>
            <w:vAlign w:val="center"/>
          </w:tcPr>
          <w:p>
            <w:pPr>
              <w:pStyle w:val="13"/>
            </w:pPr>
            <w:r>
              <w:t>采购使用节能减排的办公产品，提倡环保节能，绿色办公。</w:t>
            </w:r>
          </w:p>
        </w:tc>
        <w:tc>
          <w:tcPr>
            <w:tcW w:w="2551" w:type="dxa"/>
            <w:vAlign w:val="center"/>
          </w:tcPr>
          <w:p>
            <w:pPr>
              <w:pStyle w:val="13"/>
            </w:pPr>
            <w:r>
              <w:t>持续使用</w:t>
            </w:r>
          </w:p>
        </w:tc>
        <w:tc>
          <w:tcPr>
            <w:tcW w:w="2268" w:type="dxa"/>
            <w:vAlign w:val="center"/>
          </w:tcPr>
          <w:p>
            <w:pPr>
              <w:pStyle w:val="13"/>
            </w:pPr>
            <w:r>
              <w:t>响应节能减排号召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机关办案人员满意率</w:t>
            </w:r>
          </w:p>
        </w:tc>
        <w:tc>
          <w:tcPr>
            <w:tcW w:w="2835" w:type="dxa"/>
            <w:vAlign w:val="center"/>
          </w:tcPr>
          <w:p>
            <w:pPr>
              <w:pStyle w:val="13"/>
            </w:pPr>
            <w:r>
              <w:t>机关办案人员的满意度情况</w:t>
            </w:r>
          </w:p>
        </w:tc>
        <w:tc>
          <w:tcPr>
            <w:tcW w:w="2551" w:type="dxa"/>
            <w:vAlign w:val="center"/>
          </w:tcPr>
          <w:p>
            <w:pPr>
              <w:pStyle w:val="13"/>
            </w:pPr>
            <w:r>
              <w:t>≥90%</w:t>
            </w:r>
          </w:p>
        </w:tc>
        <w:tc>
          <w:tcPr>
            <w:tcW w:w="2268"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2、乡镇纪委工作经费绩效目标表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1.合理安排财政资金支出计划76.5万元，遵循单位财务规章制度，在预算内按进度支出；保障乡镇纪委办案费用支出，服务于全年目标任务。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保障乡镇纪委办案工作正常开展</w:t>
            </w:r>
          </w:p>
        </w:tc>
        <w:tc>
          <w:tcPr>
            <w:tcW w:w="2835" w:type="dxa"/>
            <w:vAlign w:val="center"/>
          </w:tcPr>
          <w:p>
            <w:pPr>
              <w:pStyle w:val="13"/>
            </w:pPr>
            <w:r>
              <w:t>保障乡镇纪委办案工作正常运转，完成全年目标任务</w:t>
            </w:r>
          </w:p>
        </w:tc>
        <w:tc>
          <w:tcPr>
            <w:tcW w:w="2551" w:type="dxa"/>
            <w:vAlign w:val="center"/>
          </w:tcPr>
          <w:p>
            <w:pPr>
              <w:pStyle w:val="13"/>
            </w:pPr>
            <w:r>
              <w:t>≥8小时</w:t>
            </w:r>
          </w:p>
        </w:tc>
        <w:tc>
          <w:tcPr>
            <w:tcW w:w="2268" w:type="dxa"/>
            <w:vAlign w:val="center"/>
          </w:tcPr>
          <w:p>
            <w:pPr>
              <w:pStyle w:val="13"/>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2835" w:type="dxa"/>
            <w:vAlign w:val="center"/>
          </w:tcPr>
          <w:p>
            <w:pPr>
              <w:pStyle w:val="13"/>
            </w:pPr>
            <w:r>
              <w:t>经费专款专用，支出合理合规</w:t>
            </w:r>
          </w:p>
        </w:tc>
        <w:tc>
          <w:tcPr>
            <w:tcW w:w="2551" w:type="dxa"/>
            <w:vAlign w:val="center"/>
          </w:tcPr>
          <w:p>
            <w:pPr>
              <w:pStyle w:val="13"/>
            </w:pPr>
            <w:r>
              <w:t>＝100%</w:t>
            </w:r>
          </w:p>
        </w:tc>
        <w:tc>
          <w:tcPr>
            <w:tcW w:w="2268" w:type="dxa"/>
            <w:vAlign w:val="center"/>
          </w:tcPr>
          <w:p>
            <w:pPr>
              <w:pStyle w:val="13"/>
            </w:pPr>
            <w:r>
              <w:t>符合财务管理制度和内控制度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2835" w:type="dxa"/>
            <w:vAlign w:val="center"/>
          </w:tcPr>
          <w:p>
            <w:pPr>
              <w:pStyle w:val="13"/>
            </w:pPr>
            <w:r>
              <w:t>按照时间进度及时按时支付资金情况</w:t>
            </w:r>
          </w:p>
        </w:tc>
        <w:tc>
          <w:tcPr>
            <w:tcW w:w="2551" w:type="dxa"/>
            <w:vAlign w:val="center"/>
          </w:tcPr>
          <w:p>
            <w:pPr>
              <w:pStyle w:val="13"/>
            </w:pPr>
            <w:r>
              <w:t>≥90%</w:t>
            </w:r>
          </w:p>
        </w:tc>
        <w:tc>
          <w:tcPr>
            <w:tcW w:w="2268" w:type="dxa"/>
            <w:vAlign w:val="center"/>
          </w:tcPr>
          <w:p>
            <w:pPr>
              <w:pStyle w:val="13"/>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各项经费成本控制</w:t>
            </w:r>
          </w:p>
        </w:tc>
        <w:tc>
          <w:tcPr>
            <w:tcW w:w="2835" w:type="dxa"/>
            <w:vAlign w:val="center"/>
          </w:tcPr>
          <w:p>
            <w:pPr>
              <w:pStyle w:val="13"/>
            </w:pPr>
            <w:r>
              <w:t>严格控制经费成本，不超预算76.5万元。</w:t>
            </w:r>
          </w:p>
        </w:tc>
        <w:tc>
          <w:tcPr>
            <w:tcW w:w="2551" w:type="dxa"/>
            <w:vAlign w:val="center"/>
          </w:tcPr>
          <w:p>
            <w:pPr>
              <w:pStyle w:val="13"/>
            </w:pPr>
            <w:r>
              <w:t>≤76.5万元</w:t>
            </w:r>
          </w:p>
        </w:tc>
        <w:tc>
          <w:tcPr>
            <w:tcW w:w="2268" w:type="dxa"/>
            <w:vAlign w:val="center"/>
          </w:tcPr>
          <w:p>
            <w:pPr>
              <w:pStyle w:val="13"/>
            </w:pPr>
            <w:r>
              <w:t>固定标准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发挥财政资金使用效益</w:t>
            </w:r>
          </w:p>
        </w:tc>
        <w:tc>
          <w:tcPr>
            <w:tcW w:w="2835" w:type="dxa"/>
            <w:vAlign w:val="center"/>
          </w:tcPr>
          <w:p>
            <w:pPr>
              <w:pStyle w:val="13"/>
            </w:pPr>
            <w:r>
              <w:t>压缩开支，节约成本，使财政资金发挥最大的效益。</w:t>
            </w:r>
          </w:p>
        </w:tc>
        <w:tc>
          <w:tcPr>
            <w:tcW w:w="2551" w:type="dxa"/>
            <w:vAlign w:val="center"/>
          </w:tcPr>
          <w:p>
            <w:pPr>
              <w:pStyle w:val="13"/>
            </w:pPr>
            <w:r>
              <w:t>效果显著</w:t>
            </w:r>
          </w:p>
        </w:tc>
        <w:tc>
          <w:tcPr>
            <w:tcW w:w="2268" w:type="dxa"/>
            <w:vAlign w:val="center"/>
          </w:tcPr>
          <w:p>
            <w:pPr>
              <w:pStyle w:val="13"/>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正常乡镇纪委办案质量保障率</w:t>
            </w:r>
          </w:p>
        </w:tc>
        <w:tc>
          <w:tcPr>
            <w:tcW w:w="2835" w:type="dxa"/>
            <w:vAlign w:val="center"/>
          </w:tcPr>
          <w:p>
            <w:pPr>
              <w:pStyle w:val="13"/>
            </w:pPr>
            <w:r>
              <w:t>反映财政资金支持保障乡镇纪委办案工作所需。</w:t>
            </w:r>
          </w:p>
        </w:tc>
        <w:tc>
          <w:tcPr>
            <w:tcW w:w="2551" w:type="dxa"/>
            <w:vAlign w:val="center"/>
          </w:tcPr>
          <w:p>
            <w:pPr>
              <w:pStyle w:val="13"/>
            </w:pPr>
            <w:r>
              <w:t>≥90%</w:t>
            </w:r>
          </w:p>
        </w:tc>
        <w:tc>
          <w:tcPr>
            <w:tcW w:w="2268" w:type="dxa"/>
            <w:vAlign w:val="center"/>
          </w:tcPr>
          <w:p>
            <w:pPr>
              <w:pStyle w:val="13"/>
            </w:pPr>
            <w:r>
              <w:t>维护办案工作办公秩序，保障公职人员履职需要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使用节能减排产品</w:t>
            </w:r>
          </w:p>
        </w:tc>
        <w:tc>
          <w:tcPr>
            <w:tcW w:w="2835" w:type="dxa"/>
            <w:vAlign w:val="center"/>
          </w:tcPr>
          <w:p>
            <w:pPr>
              <w:pStyle w:val="13"/>
            </w:pPr>
            <w:r>
              <w:t>采购使用节能减排的办公产品，提倡环保节能，绿色办公。</w:t>
            </w:r>
          </w:p>
        </w:tc>
        <w:tc>
          <w:tcPr>
            <w:tcW w:w="2551" w:type="dxa"/>
            <w:vAlign w:val="center"/>
          </w:tcPr>
          <w:p>
            <w:pPr>
              <w:pStyle w:val="13"/>
            </w:pPr>
            <w:r>
              <w:t>持续使用</w:t>
            </w:r>
          </w:p>
        </w:tc>
        <w:tc>
          <w:tcPr>
            <w:tcW w:w="2268" w:type="dxa"/>
            <w:vAlign w:val="center"/>
          </w:tcPr>
          <w:p>
            <w:pPr>
              <w:pStyle w:val="13"/>
            </w:pPr>
            <w:r>
              <w:t>响应节能减排号召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乡镇纪委办案人员满意率</w:t>
            </w:r>
          </w:p>
        </w:tc>
        <w:tc>
          <w:tcPr>
            <w:tcW w:w="2835" w:type="dxa"/>
            <w:vAlign w:val="center"/>
          </w:tcPr>
          <w:p>
            <w:pPr>
              <w:pStyle w:val="13"/>
            </w:pPr>
            <w:r>
              <w:t>乡镇纪委办案人员的满意度情况</w:t>
            </w:r>
          </w:p>
        </w:tc>
        <w:tc>
          <w:tcPr>
            <w:tcW w:w="2551" w:type="dxa"/>
            <w:vAlign w:val="center"/>
          </w:tcPr>
          <w:p>
            <w:pPr>
              <w:pStyle w:val="13"/>
            </w:pPr>
            <w:r>
              <w:t>≥90%</w:t>
            </w:r>
          </w:p>
        </w:tc>
        <w:tc>
          <w:tcPr>
            <w:tcW w:w="2268"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1.合理安排财政资金支出计划114万元，遵循单位财务规章制度，在预算内按进度支出；保障机关正常运转，服务于机关全年目标任务。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保障单位正常运转</w:t>
            </w:r>
          </w:p>
        </w:tc>
        <w:tc>
          <w:tcPr>
            <w:tcW w:w="2835" w:type="dxa"/>
            <w:vAlign w:val="center"/>
          </w:tcPr>
          <w:p>
            <w:pPr>
              <w:pStyle w:val="13"/>
            </w:pPr>
            <w:r>
              <w:t>保障机关工作正常运转，完成全年目标任务</w:t>
            </w:r>
          </w:p>
        </w:tc>
        <w:tc>
          <w:tcPr>
            <w:tcW w:w="2551" w:type="dxa"/>
            <w:vAlign w:val="center"/>
          </w:tcPr>
          <w:p>
            <w:pPr>
              <w:pStyle w:val="13"/>
            </w:pPr>
            <w:r>
              <w:t>≥8小时</w:t>
            </w:r>
          </w:p>
        </w:tc>
        <w:tc>
          <w:tcPr>
            <w:tcW w:w="2268" w:type="dxa"/>
            <w:vAlign w:val="center"/>
          </w:tcPr>
          <w:p>
            <w:pPr>
              <w:pStyle w:val="13"/>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2835" w:type="dxa"/>
            <w:vAlign w:val="center"/>
          </w:tcPr>
          <w:p>
            <w:pPr>
              <w:pStyle w:val="13"/>
            </w:pPr>
            <w:r>
              <w:t>经费专款专用，支出合理合规</w:t>
            </w:r>
          </w:p>
        </w:tc>
        <w:tc>
          <w:tcPr>
            <w:tcW w:w="2551" w:type="dxa"/>
            <w:vAlign w:val="center"/>
          </w:tcPr>
          <w:p>
            <w:pPr>
              <w:pStyle w:val="13"/>
            </w:pPr>
            <w:r>
              <w:t>＝100%</w:t>
            </w:r>
          </w:p>
        </w:tc>
        <w:tc>
          <w:tcPr>
            <w:tcW w:w="2268" w:type="dxa"/>
            <w:vAlign w:val="center"/>
          </w:tcPr>
          <w:p>
            <w:pPr>
              <w:pStyle w:val="13"/>
            </w:pPr>
            <w:r>
              <w:t>符合财务管理制度和内控制度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2835" w:type="dxa"/>
            <w:vAlign w:val="center"/>
          </w:tcPr>
          <w:p>
            <w:pPr>
              <w:pStyle w:val="13"/>
            </w:pPr>
            <w:r>
              <w:t>按照时间进度及时按时支付资金情况</w:t>
            </w:r>
          </w:p>
        </w:tc>
        <w:tc>
          <w:tcPr>
            <w:tcW w:w="2551" w:type="dxa"/>
            <w:vAlign w:val="center"/>
          </w:tcPr>
          <w:p>
            <w:pPr>
              <w:pStyle w:val="13"/>
            </w:pPr>
            <w:r>
              <w:t>≥90%</w:t>
            </w:r>
          </w:p>
        </w:tc>
        <w:tc>
          <w:tcPr>
            <w:tcW w:w="2268" w:type="dxa"/>
            <w:vAlign w:val="center"/>
          </w:tcPr>
          <w:p>
            <w:pPr>
              <w:pStyle w:val="13"/>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各项经费成本控制</w:t>
            </w:r>
          </w:p>
        </w:tc>
        <w:tc>
          <w:tcPr>
            <w:tcW w:w="2835" w:type="dxa"/>
            <w:vAlign w:val="center"/>
          </w:tcPr>
          <w:p>
            <w:pPr>
              <w:pStyle w:val="13"/>
            </w:pPr>
            <w:r>
              <w:t>严格控制经费成本，不超预算114万元。</w:t>
            </w:r>
          </w:p>
        </w:tc>
        <w:tc>
          <w:tcPr>
            <w:tcW w:w="2551" w:type="dxa"/>
            <w:vAlign w:val="center"/>
          </w:tcPr>
          <w:p>
            <w:pPr>
              <w:pStyle w:val="13"/>
            </w:pPr>
            <w:r>
              <w:t>≤114万元</w:t>
            </w:r>
          </w:p>
        </w:tc>
        <w:tc>
          <w:tcPr>
            <w:tcW w:w="2268" w:type="dxa"/>
            <w:vAlign w:val="center"/>
          </w:tcPr>
          <w:p>
            <w:pPr>
              <w:pStyle w:val="13"/>
            </w:pPr>
            <w:r>
              <w:t>固定标准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发挥财政资金使用效益</w:t>
            </w:r>
          </w:p>
        </w:tc>
        <w:tc>
          <w:tcPr>
            <w:tcW w:w="2835" w:type="dxa"/>
            <w:vAlign w:val="center"/>
          </w:tcPr>
          <w:p>
            <w:pPr>
              <w:pStyle w:val="13"/>
            </w:pPr>
            <w:r>
              <w:t>压缩开支，节约成本，使财政资金发挥最大的效益。</w:t>
            </w:r>
          </w:p>
        </w:tc>
        <w:tc>
          <w:tcPr>
            <w:tcW w:w="2551" w:type="dxa"/>
            <w:vAlign w:val="center"/>
          </w:tcPr>
          <w:p>
            <w:pPr>
              <w:pStyle w:val="13"/>
            </w:pPr>
            <w:r>
              <w:t>效果显著</w:t>
            </w:r>
          </w:p>
        </w:tc>
        <w:tc>
          <w:tcPr>
            <w:tcW w:w="2268" w:type="dxa"/>
            <w:vAlign w:val="center"/>
          </w:tcPr>
          <w:p>
            <w:pPr>
              <w:pStyle w:val="13"/>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正常办公条件保障率</w:t>
            </w:r>
          </w:p>
        </w:tc>
        <w:tc>
          <w:tcPr>
            <w:tcW w:w="2835" w:type="dxa"/>
            <w:vAlign w:val="center"/>
          </w:tcPr>
          <w:p>
            <w:pPr>
              <w:pStyle w:val="13"/>
            </w:pPr>
            <w:r>
              <w:t>反映财政资金支持保障日常办公所需。</w:t>
            </w:r>
          </w:p>
        </w:tc>
        <w:tc>
          <w:tcPr>
            <w:tcW w:w="2551" w:type="dxa"/>
            <w:vAlign w:val="center"/>
          </w:tcPr>
          <w:p>
            <w:pPr>
              <w:pStyle w:val="13"/>
            </w:pPr>
            <w:r>
              <w:t>≥90%</w:t>
            </w:r>
          </w:p>
        </w:tc>
        <w:tc>
          <w:tcPr>
            <w:tcW w:w="2268" w:type="dxa"/>
            <w:vAlign w:val="center"/>
          </w:tcPr>
          <w:p>
            <w:pPr>
              <w:pStyle w:val="13"/>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使用节能减排产品</w:t>
            </w:r>
          </w:p>
        </w:tc>
        <w:tc>
          <w:tcPr>
            <w:tcW w:w="2835" w:type="dxa"/>
            <w:vAlign w:val="center"/>
          </w:tcPr>
          <w:p>
            <w:pPr>
              <w:pStyle w:val="13"/>
            </w:pPr>
            <w:r>
              <w:t>日常采购使用节能减排的办公产品，提倡环保节能，绿色办公。</w:t>
            </w:r>
          </w:p>
        </w:tc>
        <w:tc>
          <w:tcPr>
            <w:tcW w:w="2551" w:type="dxa"/>
            <w:vAlign w:val="center"/>
          </w:tcPr>
          <w:p>
            <w:pPr>
              <w:pStyle w:val="13"/>
            </w:pPr>
            <w:r>
              <w:t>持续使用</w:t>
            </w:r>
          </w:p>
        </w:tc>
        <w:tc>
          <w:tcPr>
            <w:tcW w:w="2268" w:type="dxa"/>
            <w:vAlign w:val="center"/>
          </w:tcPr>
          <w:p>
            <w:pPr>
              <w:pStyle w:val="13"/>
            </w:pPr>
            <w:r>
              <w:t>响应节能减排号召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机关工作人员满意率</w:t>
            </w:r>
          </w:p>
        </w:tc>
        <w:tc>
          <w:tcPr>
            <w:tcW w:w="2835" w:type="dxa"/>
            <w:vAlign w:val="center"/>
          </w:tcPr>
          <w:p>
            <w:pPr>
              <w:pStyle w:val="13"/>
            </w:pPr>
            <w:r>
              <w:t>机关工作人员的满意度情况</w:t>
            </w:r>
          </w:p>
        </w:tc>
        <w:tc>
          <w:tcPr>
            <w:tcW w:w="2551" w:type="dxa"/>
            <w:vAlign w:val="center"/>
          </w:tcPr>
          <w:p>
            <w:pPr>
              <w:pStyle w:val="13"/>
            </w:pPr>
            <w:r>
              <w:t>≥90%</w:t>
            </w:r>
          </w:p>
        </w:tc>
        <w:tc>
          <w:tcPr>
            <w:tcW w:w="2268"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4、专项工作经费（罚没）绩效目标表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1.合理安排财政资金支出计划51.86万元，遵循单位财务规章制度，在预算内按进度支出；保障机关正常运转，服务于机关全年目标任务。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保障单位正常运转</w:t>
            </w:r>
          </w:p>
        </w:tc>
        <w:tc>
          <w:tcPr>
            <w:tcW w:w="2835" w:type="dxa"/>
            <w:vAlign w:val="center"/>
          </w:tcPr>
          <w:p>
            <w:pPr>
              <w:pStyle w:val="13"/>
            </w:pPr>
            <w:r>
              <w:t>保障机关工作正常运转，完成全年目标任务。</w:t>
            </w:r>
          </w:p>
        </w:tc>
        <w:tc>
          <w:tcPr>
            <w:tcW w:w="2551" w:type="dxa"/>
            <w:vAlign w:val="center"/>
          </w:tcPr>
          <w:p>
            <w:pPr>
              <w:pStyle w:val="13"/>
            </w:pPr>
            <w:r>
              <w:t>≥8小时</w:t>
            </w:r>
          </w:p>
        </w:tc>
        <w:tc>
          <w:tcPr>
            <w:tcW w:w="2268" w:type="dxa"/>
            <w:vAlign w:val="center"/>
          </w:tcPr>
          <w:p>
            <w:pPr>
              <w:pStyle w:val="13"/>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2835" w:type="dxa"/>
            <w:vAlign w:val="center"/>
          </w:tcPr>
          <w:p>
            <w:pPr>
              <w:pStyle w:val="13"/>
            </w:pPr>
            <w:r>
              <w:t>经费专款专用，支出合理合规。</w:t>
            </w:r>
          </w:p>
        </w:tc>
        <w:tc>
          <w:tcPr>
            <w:tcW w:w="2551" w:type="dxa"/>
            <w:vAlign w:val="center"/>
          </w:tcPr>
          <w:p>
            <w:pPr>
              <w:pStyle w:val="13"/>
            </w:pPr>
            <w:r>
              <w:t>＝100%</w:t>
            </w:r>
          </w:p>
        </w:tc>
        <w:tc>
          <w:tcPr>
            <w:tcW w:w="2268" w:type="dxa"/>
            <w:vAlign w:val="center"/>
          </w:tcPr>
          <w:p>
            <w:pPr>
              <w:pStyle w:val="13"/>
            </w:pPr>
            <w:r>
              <w:t>符合财务管理制度和内控制度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2835" w:type="dxa"/>
            <w:vAlign w:val="center"/>
          </w:tcPr>
          <w:p>
            <w:pPr>
              <w:pStyle w:val="13"/>
            </w:pPr>
            <w:r>
              <w:t>按照时间进度及时按时支付资金情况。</w:t>
            </w:r>
          </w:p>
        </w:tc>
        <w:tc>
          <w:tcPr>
            <w:tcW w:w="2551" w:type="dxa"/>
            <w:vAlign w:val="center"/>
          </w:tcPr>
          <w:p>
            <w:pPr>
              <w:pStyle w:val="13"/>
            </w:pPr>
            <w:r>
              <w:t>≥90%</w:t>
            </w:r>
          </w:p>
        </w:tc>
        <w:tc>
          <w:tcPr>
            <w:tcW w:w="2268" w:type="dxa"/>
            <w:vAlign w:val="center"/>
          </w:tcPr>
          <w:p>
            <w:pPr>
              <w:pStyle w:val="13"/>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各项经费成本控制</w:t>
            </w:r>
          </w:p>
        </w:tc>
        <w:tc>
          <w:tcPr>
            <w:tcW w:w="2835" w:type="dxa"/>
            <w:vAlign w:val="center"/>
          </w:tcPr>
          <w:p>
            <w:pPr>
              <w:pStyle w:val="13"/>
            </w:pPr>
            <w:r>
              <w:t>严格控制经费成本，不超预算51.86万元。</w:t>
            </w:r>
          </w:p>
        </w:tc>
        <w:tc>
          <w:tcPr>
            <w:tcW w:w="2551" w:type="dxa"/>
            <w:vAlign w:val="center"/>
          </w:tcPr>
          <w:p>
            <w:pPr>
              <w:pStyle w:val="13"/>
            </w:pPr>
            <w:r>
              <w:t>≤51.86万元</w:t>
            </w:r>
          </w:p>
        </w:tc>
        <w:tc>
          <w:tcPr>
            <w:tcW w:w="2268" w:type="dxa"/>
            <w:vAlign w:val="center"/>
          </w:tcPr>
          <w:p>
            <w:pPr>
              <w:pStyle w:val="13"/>
            </w:pPr>
            <w:r>
              <w:t>固定标准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发挥财政资金使用效益</w:t>
            </w:r>
          </w:p>
        </w:tc>
        <w:tc>
          <w:tcPr>
            <w:tcW w:w="2835" w:type="dxa"/>
            <w:vAlign w:val="center"/>
          </w:tcPr>
          <w:p>
            <w:pPr>
              <w:pStyle w:val="13"/>
            </w:pPr>
            <w:r>
              <w:t>压缩开支，节约成本，使财政资金发挥最大的效益。</w:t>
            </w:r>
          </w:p>
        </w:tc>
        <w:tc>
          <w:tcPr>
            <w:tcW w:w="2551" w:type="dxa"/>
            <w:vAlign w:val="center"/>
          </w:tcPr>
          <w:p>
            <w:pPr>
              <w:pStyle w:val="13"/>
            </w:pPr>
            <w:r>
              <w:t>效果显著</w:t>
            </w:r>
          </w:p>
        </w:tc>
        <w:tc>
          <w:tcPr>
            <w:tcW w:w="2268" w:type="dxa"/>
            <w:vAlign w:val="center"/>
          </w:tcPr>
          <w:p>
            <w:pPr>
              <w:pStyle w:val="13"/>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正常办公条件保障率</w:t>
            </w:r>
          </w:p>
        </w:tc>
        <w:tc>
          <w:tcPr>
            <w:tcW w:w="2835" w:type="dxa"/>
            <w:vAlign w:val="center"/>
          </w:tcPr>
          <w:p>
            <w:pPr>
              <w:pStyle w:val="13"/>
            </w:pPr>
            <w:r>
              <w:t>反映财政资金支持保障日常办公所需。</w:t>
            </w:r>
          </w:p>
        </w:tc>
        <w:tc>
          <w:tcPr>
            <w:tcW w:w="2551" w:type="dxa"/>
            <w:vAlign w:val="center"/>
          </w:tcPr>
          <w:p>
            <w:pPr>
              <w:pStyle w:val="13"/>
            </w:pPr>
            <w:r>
              <w:t>≥90%</w:t>
            </w:r>
          </w:p>
        </w:tc>
        <w:tc>
          <w:tcPr>
            <w:tcW w:w="2268" w:type="dxa"/>
            <w:vAlign w:val="center"/>
          </w:tcPr>
          <w:p>
            <w:pPr>
              <w:pStyle w:val="13"/>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使用节能减排产品</w:t>
            </w:r>
          </w:p>
        </w:tc>
        <w:tc>
          <w:tcPr>
            <w:tcW w:w="2835" w:type="dxa"/>
            <w:vAlign w:val="center"/>
          </w:tcPr>
          <w:p>
            <w:pPr>
              <w:pStyle w:val="13"/>
            </w:pPr>
            <w:r>
              <w:t>日常采购使用节能减排的办公产品，提倡环保节能，绿色办公。</w:t>
            </w:r>
          </w:p>
        </w:tc>
        <w:tc>
          <w:tcPr>
            <w:tcW w:w="2551" w:type="dxa"/>
            <w:vAlign w:val="center"/>
          </w:tcPr>
          <w:p>
            <w:pPr>
              <w:pStyle w:val="13"/>
            </w:pPr>
            <w:r>
              <w:t>持续使用</w:t>
            </w:r>
          </w:p>
        </w:tc>
        <w:tc>
          <w:tcPr>
            <w:tcW w:w="2268" w:type="dxa"/>
            <w:vAlign w:val="center"/>
          </w:tcPr>
          <w:p>
            <w:pPr>
              <w:pStyle w:val="13"/>
            </w:pPr>
            <w:r>
              <w:t>响应节能减排号召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机关工作人员满意率</w:t>
            </w:r>
          </w:p>
        </w:tc>
        <w:tc>
          <w:tcPr>
            <w:tcW w:w="2835" w:type="dxa"/>
            <w:vAlign w:val="center"/>
          </w:tcPr>
          <w:p>
            <w:pPr>
              <w:pStyle w:val="13"/>
            </w:pPr>
            <w:r>
              <w:t>机关工作人员的满意度情况</w:t>
            </w:r>
          </w:p>
        </w:tc>
        <w:tc>
          <w:tcPr>
            <w:tcW w:w="2551" w:type="dxa"/>
            <w:vAlign w:val="center"/>
          </w:tcPr>
          <w:p>
            <w:pPr>
              <w:pStyle w:val="13"/>
            </w:pPr>
            <w:r>
              <w:t>≥90%</w:t>
            </w:r>
          </w:p>
        </w:tc>
        <w:tc>
          <w:tcPr>
            <w:tcW w:w="2268"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5、上年非税结转绩效目标表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1.合理安排财政资金支出计划51.86万元，遵循单位财务规章制度，在预算内按进度支出；保障机关正常运转，服务于机关全年目标任务。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保障单位正常运转</w:t>
            </w:r>
          </w:p>
        </w:tc>
        <w:tc>
          <w:tcPr>
            <w:tcW w:w="2835" w:type="dxa"/>
            <w:vAlign w:val="center"/>
          </w:tcPr>
          <w:p>
            <w:pPr>
              <w:pStyle w:val="13"/>
            </w:pPr>
            <w:r>
              <w:t>保障机关工作正常运转，完成全年目标任务。</w:t>
            </w:r>
          </w:p>
        </w:tc>
        <w:tc>
          <w:tcPr>
            <w:tcW w:w="2551" w:type="dxa"/>
            <w:vAlign w:val="center"/>
          </w:tcPr>
          <w:p>
            <w:pPr>
              <w:pStyle w:val="13"/>
            </w:pPr>
            <w:r>
              <w:t>≥8小时</w:t>
            </w:r>
          </w:p>
        </w:tc>
        <w:tc>
          <w:tcPr>
            <w:tcW w:w="2268" w:type="dxa"/>
            <w:vAlign w:val="center"/>
          </w:tcPr>
          <w:p>
            <w:pPr>
              <w:pStyle w:val="13"/>
            </w:pPr>
            <w:r>
              <w:t>行政事业单位法定工作时间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经费支出准确率</w:t>
            </w:r>
          </w:p>
        </w:tc>
        <w:tc>
          <w:tcPr>
            <w:tcW w:w="2835" w:type="dxa"/>
            <w:vAlign w:val="center"/>
          </w:tcPr>
          <w:p>
            <w:pPr>
              <w:pStyle w:val="13"/>
            </w:pPr>
            <w:r>
              <w:t>经费专款专用，支出合理合规。</w:t>
            </w:r>
          </w:p>
        </w:tc>
        <w:tc>
          <w:tcPr>
            <w:tcW w:w="2551" w:type="dxa"/>
            <w:vAlign w:val="center"/>
          </w:tcPr>
          <w:p>
            <w:pPr>
              <w:pStyle w:val="13"/>
            </w:pPr>
            <w:r>
              <w:t>＝100%</w:t>
            </w:r>
          </w:p>
        </w:tc>
        <w:tc>
          <w:tcPr>
            <w:tcW w:w="2268" w:type="dxa"/>
            <w:vAlign w:val="center"/>
          </w:tcPr>
          <w:p>
            <w:pPr>
              <w:pStyle w:val="13"/>
            </w:pPr>
            <w:r>
              <w:t>符合财务管理制度和内控制度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2835" w:type="dxa"/>
            <w:vAlign w:val="center"/>
          </w:tcPr>
          <w:p>
            <w:pPr>
              <w:pStyle w:val="13"/>
            </w:pPr>
            <w:r>
              <w:t>按照时间进度及时按时支付资金情况。</w:t>
            </w:r>
          </w:p>
        </w:tc>
        <w:tc>
          <w:tcPr>
            <w:tcW w:w="2551" w:type="dxa"/>
            <w:vAlign w:val="center"/>
          </w:tcPr>
          <w:p>
            <w:pPr>
              <w:pStyle w:val="13"/>
            </w:pPr>
            <w:r>
              <w:t>≥90%</w:t>
            </w:r>
          </w:p>
        </w:tc>
        <w:tc>
          <w:tcPr>
            <w:tcW w:w="2268" w:type="dxa"/>
            <w:vAlign w:val="center"/>
          </w:tcPr>
          <w:p>
            <w:pPr>
              <w:pStyle w:val="13"/>
            </w:pPr>
            <w:r>
              <w:t>支出进度要求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各项经费成本控制</w:t>
            </w:r>
          </w:p>
        </w:tc>
        <w:tc>
          <w:tcPr>
            <w:tcW w:w="2835" w:type="dxa"/>
            <w:vAlign w:val="center"/>
          </w:tcPr>
          <w:p>
            <w:pPr>
              <w:pStyle w:val="13"/>
            </w:pPr>
            <w:r>
              <w:t>严格控制经费成本，不超预算51.86万元。</w:t>
            </w:r>
          </w:p>
        </w:tc>
        <w:tc>
          <w:tcPr>
            <w:tcW w:w="2551" w:type="dxa"/>
            <w:vAlign w:val="center"/>
          </w:tcPr>
          <w:p>
            <w:pPr>
              <w:pStyle w:val="13"/>
            </w:pPr>
            <w:r>
              <w:t>≤51.86万元</w:t>
            </w:r>
          </w:p>
        </w:tc>
        <w:tc>
          <w:tcPr>
            <w:tcW w:w="2268" w:type="dxa"/>
            <w:vAlign w:val="center"/>
          </w:tcPr>
          <w:p>
            <w:pPr>
              <w:pStyle w:val="13"/>
            </w:pPr>
            <w:r>
              <w:t>固定标准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发挥财政资金使用效益</w:t>
            </w:r>
          </w:p>
        </w:tc>
        <w:tc>
          <w:tcPr>
            <w:tcW w:w="2835" w:type="dxa"/>
            <w:vAlign w:val="center"/>
          </w:tcPr>
          <w:p>
            <w:pPr>
              <w:pStyle w:val="13"/>
            </w:pPr>
            <w:r>
              <w:t>压缩开支，节约成本，使财政资金发挥最大的效益。</w:t>
            </w:r>
          </w:p>
        </w:tc>
        <w:tc>
          <w:tcPr>
            <w:tcW w:w="2551" w:type="dxa"/>
            <w:vAlign w:val="center"/>
          </w:tcPr>
          <w:p>
            <w:pPr>
              <w:pStyle w:val="13"/>
            </w:pPr>
            <w:r>
              <w:t>效果显著</w:t>
            </w:r>
          </w:p>
        </w:tc>
        <w:tc>
          <w:tcPr>
            <w:tcW w:w="2268" w:type="dxa"/>
            <w:vAlign w:val="center"/>
          </w:tcPr>
          <w:p>
            <w:pPr>
              <w:pStyle w:val="13"/>
            </w:pPr>
            <w:r>
              <w:t>响应“压缩开支,厉行节约”要求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经济效益指标</w:t>
            </w:r>
          </w:p>
        </w:tc>
        <w:tc>
          <w:tcPr>
            <w:tcW w:w="2835" w:type="dxa"/>
            <w:vAlign w:val="center"/>
          </w:tcPr>
          <w:p>
            <w:pPr>
              <w:pStyle w:val="13"/>
            </w:pPr>
            <w:r>
              <w:t>正常办公条件保障率</w:t>
            </w:r>
          </w:p>
        </w:tc>
        <w:tc>
          <w:tcPr>
            <w:tcW w:w="2835" w:type="dxa"/>
            <w:vAlign w:val="center"/>
          </w:tcPr>
          <w:p>
            <w:pPr>
              <w:pStyle w:val="13"/>
            </w:pPr>
            <w:r>
              <w:t>反映财政资金支持保障日常办公所需。</w:t>
            </w:r>
          </w:p>
        </w:tc>
        <w:tc>
          <w:tcPr>
            <w:tcW w:w="2551" w:type="dxa"/>
            <w:vAlign w:val="center"/>
          </w:tcPr>
          <w:p>
            <w:pPr>
              <w:pStyle w:val="13"/>
            </w:pPr>
            <w:r>
              <w:t>≥90%</w:t>
            </w:r>
          </w:p>
        </w:tc>
        <w:tc>
          <w:tcPr>
            <w:tcW w:w="2268" w:type="dxa"/>
            <w:vAlign w:val="center"/>
          </w:tcPr>
          <w:p>
            <w:pPr>
              <w:pStyle w:val="13"/>
            </w:pPr>
            <w:r>
              <w:t>维护机关正常办公秩序，保障公职人员履职需要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使用节能减排产品</w:t>
            </w:r>
          </w:p>
        </w:tc>
        <w:tc>
          <w:tcPr>
            <w:tcW w:w="2835" w:type="dxa"/>
            <w:vAlign w:val="center"/>
          </w:tcPr>
          <w:p>
            <w:pPr>
              <w:pStyle w:val="13"/>
            </w:pPr>
            <w:r>
              <w:t>日常采购使用节能减排的办公产品，提倡环保节能，绿色办公。</w:t>
            </w:r>
          </w:p>
        </w:tc>
        <w:tc>
          <w:tcPr>
            <w:tcW w:w="2551" w:type="dxa"/>
            <w:vAlign w:val="center"/>
          </w:tcPr>
          <w:p>
            <w:pPr>
              <w:pStyle w:val="13"/>
            </w:pPr>
            <w:r>
              <w:t>持续使用</w:t>
            </w:r>
          </w:p>
        </w:tc>
        <w:tc>
          <w:tcPr>
            <w:tcW w:w="2268" w:type="dxa"/>
            <w:vAlign w:val="center"/>
          </w:tcPr>
          <w:p>
            <w:pPr>
              <w:pStyle w:val="13"/>
            </w:pPr>
            <w:r>
              <w:t>响应节能减排号召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机关工作人员满意率</w:t>
            </w:r>
          </w:p>
        </w:tc>
        <w:tc>
          <w:tcPr>
            <w:tcW w:w="2835" w:type="dxa"/>
            <w:vAlign w:val="center"/>
          </w:tcPr>
          <w:p>
            <w:pPr>
              <w:pStyle w:val="13"/>
            </w:pPr>
            <w:r>
              <w:t>机关工作人员的满意度情况</w:t>
            </w:r>
          </w:p>
        </w:tc>
        <w:tc>
          <w:tcPr>
            <w:tcW w:w="2551" w:type="dxa"/>
            <w:vAlign w:val="center"/>
          </w:tcPr>
          <w:p>
            <w:pPr>
              <w:pStyle w:val="13"/>
            </w:pPr>
            <w:r>
              <w:t>≥90%</w:t>
            </w:r>
          </w:p>
        </w:tc>
        <w:tc>
          <w:tcPr>
            <w:tcW w:w="2268"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2022年，中共定兴县纪律检查委员会安排政府采购预算24.00万元。具体内容见下表。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222中共定兴县纪律检查委员会</w:t>
            </w:r>
          </w:p>
        </w:tc>
        <w:tc>
          <w:tcPr>
            <w:tcW w:w="8676"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2"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24.00</w:t>
            </w:r>
          </w:p>
        </w:tc>
        <w:tc>
          <w:tcPr>
            <w:tcW w:w="964" w:type="dxa"/>
            <w:vAlign w:val="center"/>
          </w:tcPr>
          <w:p>
            <w:pPr>
              <w:pStyle w:val="16"/>
            </w:pPr>
            <w:r>
              <w:t>24.00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中共定兴县纪律检查委员会（本级）小计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24.00</w:t>
            </w:r>
          </w:p>
        </w:tc>
        <w:tc>
          <w:tcPr>
            <w:tcW w:w="964" w:type="dxa"/>
            <w:vAlign w:val="center"/>
          </w:tcPr>
          <w:p>
            <w:pPr>
              <w:pStyle w:val="16"/>
            </w:pPr>
            <w:r>
              <w:t>24.00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上年非税结转</w:t>
            </w:r>
          </w:p>
        </w:tc>
        <w:tc>
          <w:tcPr>
            <w:tcW w:w="964" w:type="dxa"/>
            <w:vAlign w:val="center"/>
          </w:tcPr>
          <w:p>
            <w:pPr>
              <w:pStyle w:val="12"/>
              <w:rPr>
                <w:rFonts w:hint="default" w:eastAsia="方正书宋_GBK"/>
                <w:lang w:val="en-US" w:eastAsia="zh-CN"/>
              </w:rPr>
            </w:pPr>
            <w:r>
              <w:rPr>
                <w:rFonts w:hint="eastAsia"/>
                <w:lang w:val="en-US" w:eastAsia="zh-CN"/>
              </w:rPr>
              <w:t>24.00</w:t>
            </w:r>
          </w:p>
        </w:tc>
        <w:tc>
          <w:tcPr>
            <w:tcW w:w="1134" w:type="dxa"/>
            <w:vAlign w:val="center"/>
          </w:tcPr>
          <w:p>
            <w:pPr>
              <w:pStyle w:val="13"/>
            </w:pPr>
            <w:r>
              <w:t>小型客车</w:t>
            </w:r>
          </w:p>
        </w:tc>
        <w:tc>
          <w:tcPr>
            <w:tcW w:w="1134" w:type="dxa"/>
            <w:vAlign w:val="center"/>
          </w:tcPr>
          <w:p>
            <w:pPr>
              <w:pStyle w:val="13"/>
            </w:pPr>
            <w:r>
              <w:t>A02030601</w:t>
            </w:r>
          </w:p>
        </w:tc>
        <w:tc>
          <w:tcPr>
            <w:tcW w:w="709" w:type="dxa"/>
            <w:vAlign w:val="center"/>
          </w:tcPr>
          <w:p>
            <w:pPr>
              <w:pStyle w:val="14"/>
            </w:pPr>
            <w:r>
              <w:t>辆</w:t>
            </w:r>
          </w:p>
        </w:tc>
        <w:tc>
          <w:tcPr>
            <w:tcW w:w="850" w:type="dxa"/>
            <w:vAlign w:val="center"/>
          </w:tcPr>
          <w:p>
            <w:pPr>
              <w:pStyle w:val="12"/>
            </w:pPr>
            <w:r>
              <w:t>2</w:t>
            </w:r>
          </w:p>
        </w:tc>
        <w:tc>
          <w:tcPr>
            <w:tcW w:w="850" w:type="dxa"/>
            <w:vAlign w:val="center"/>
          </w:tcPr>
          <w:p>
            <w:pPr>
              <w:pStyle w:val="12"/>
            </w:pPr>
            <w:r>
              <w:t>12.00</w:t>
            </w:r>
          </w:p>
        </w:tc>
        <w:tc>
          <w:tcPr>
            <w:tcW w:w="964" w:type="dxa"/>
            <w:vAlign w:val="center"/>
          </w:tcPr>
          <w:p>
            <w:pPr>
              <w:pStyle w:val="12"/>
            </w:pPr>
            <w:r>
              <w:t>24.00</w:t>
            </w:r>
          </w:p>
        </w:tc>
        <w:tc>
          <w:tcPr>
            <w:tcW w:w="964" w:type="dxa"/>
            <w:vAlign w:val="center"/>
          </w:tcPr>
          <w:p>
            <w:pPr>
              <w:pStyle w:val="12"/>
            </w:pPr>
            <w:r>
              <w:t>24.00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40" w:lineRule="exact"/>
        <w:ind w:firstLine="560" w:firstLineChars="200"/>
        <w:rPr>
          <w:rFonts w:eastAsia="方正仿宋_GBK"/>
          <w:color w:val="000000"/>
          <w:sz w:val="28"/>
        </w:rPr>
      </w:pPr>
      <w:r>
        <w:rPr>
          <w:rFonts w:eastAsia="方正仿宋_GBK"/>
          <w:color w:val="000000"/>
          <w:sz w:val="28"/>
        </w:rPr>
        <w:t>中共定兴县纪律检查委员会（含所属单位）上年末固定资产金额为</w:t>
      </w:r>
      <w:r>
        <w:rPr>
          <w:rFonts w:hint="eastAsia" w:eastAsia="方正仿宋_GBK"/>
          <w:color w:val="000000"/>
          <w:sz w:val="28"/>
          <w:lang w:eastAsia="zh-CN"/>
        </w:rPr>
        <w:t>347.06</w:t>
      </w:r>
      <w:r>
        <w:rPr>
          <w:rFonts w:eastAsia="方正仿宋_GBK"/>
          <w:color w:val="000000"/>
          <w:sz w:val="28"/>
        </w:rPr>
        <w:t>万元（详见下表）。</w:t>
      </w:r>
      <w:r>
        <w:rPr>
          <w:rFonts w:hint="eastAsia" w:ascii="仿宋_GB2312" w:hAnsi="仿宋" w:eastAsia="仿宋_GB2312"/>
          <w:sz w:val="32"/>
          <w:szCs w:val="32"/>
        </w:rPr>
        <w:t>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年拟购置固定资</w:t>
      </w:r>
      <w:r>
        <w:rPr>
          <w:rFonts w:hint="eastAsia" w:eastAsia="方正仿宋_GBK"/>
          <w:color w:val="000000"/>
          <w:sz w:val="28"/>
        </w:rPr>
        <w:t>产总额31.59万元，即专项工作经费（罚没）新增资产31.59万元。</w:t>
      </w:r>
    </w:p>
    <w:p>
      <w:pPr>
        <w:spacing w:line="540" w:lineRule="exact"/>
        <w:ind w:firstLine="560" w:firstLineChars="200"/>
        <w:rPr>
          <w:rFonts w:eastAsia="方正仿宋_GBK"/>
          <w:color w:val="000000"/>
          <w:sz w:val="28"/>
        </w:rPr>
      </w:pPr>
    </w:p>
    <w:p>
      <w:pPr>
        <w:spacing w:line="540" w:lineRule="exact"/>
        <w:ind w:firstLine="640" w:firstLineChars="200"/>
        <w:rPr>
          <w:rFonts w:ascii="仿宋_GB2312" w:hAnsi="仿宋" w:eastAsia="仿宋_GB2312"/>
          <w:sz w:val="32"/>
          <w:szCs w:val="32"/>
        </w:rPr>
      </w:pPr>
    </w:p>
    <w:p>
      <w:pPr>
        <w:spacing w:line="540" w:lineRule="exact"/>
        <w:ind w:firstLine="640" w:firstLineChars="200"/>
        <w:rPr>
          <w:rFonts w:ascii="仿宋_GB2312" w:hAnsi="仿宋" w:eastAsia="仿宋_GB2312"/>
          <w:sz w:val="32"/>
          <w:szCs w:val="32"/>
        </w:rPr>
      </w:pPr>
    </w:p>
    <w:p>
      <w:pPr>
        <w:spacing w:line="540" w:lineRule="exact"/>
        <w:ind w:firstLine="640" w:firstLineChars="200"/>
        <w:rPr>
          <w:rFonts w:ascii="仿宋_GB2312" w:hAnsi="仿宋" w:eastAsia="仿宋_GB2312"/>
          <w:sz w:val="32"/>
          <w:szCs w:val="32"/>
        </w:rPr>
      </w:pPr>
    </w:p>
    <w:p>
      <w:pPr>
        <w:jc w:val="center"/>
        <w:rPr>
          <w:rFonts w:ascii="方正小标宋_GBK" w:hAnsi="方正小标宋_GBK" w:eastAsia="方正小标宋_GBK" w:cs="方正小标宋_GBK"/>
          <w:color w:val="000000"/>
          <w:sz w:val="36"/>
        </w:rPr>
      </w:pPr>
      <w:r>
        <w:rPr>
          <w:rFonts w:hint="eastAsia" w:ascii="方正小标宋_GBK" w:hAnsi="方正小标宋_GBK" w:eastAsia="方正小标宋_GBK" w:cs="方正小标宋_GBK"/>
          <w:color w:val="000000"/>
          <w:sz w:val="36"/>
          <w:lang w:eastAsia="zh-CN"/>
        </w:rPr>
        <w:t>中国共产党定兴县纪律检查委员会</w:t>
      </w:r>
      <w:r>
        <w:rPr>
          <w:rFonts w:ascii="方正小标宋_GBK" w:hAnsi="方正小标宋_GBK" w:eastAsia="方正小标宋_GBK" w:cs="方正小标宋_GBK"/>
          <w:color w:val="000000"/>
          <w:sz w:val="36"/>
        </w:rPr>
        <w:t>固定资产占用情况表</w:t>
      </w:r>
    </w:p>
    <w:p>
      <w:pPr>
        <w:jc w:val="center"/>
        <w:rPr>
          <w:rFonts w:ascii="方正小标宋_GBK" w:hAnsi="方正小标宋_GBK" w:eastAsia="方正小标宋_GBK" w:cs="方正小标宋_GBK"/>
          <w:color w:val="000000"/>
          <w:sz w:val="36"/>
        </w:rP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222中共定兴县纪律检查委员会</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40" w:lineRule="exact"/>
              <w:jc w:val="center"/>
              <w:textAlignment w:val="center"/>
              <w:rPr>
                <w:rFonts w:ascii="宋体" w:hAnsi="宋体" w:cs="宋体"/>
                <w:color w:val="000000"/>
              </w:rPr>
            </w:pPr>
            <w:r>
              <w:rPr>
                <w:rFonts w:hint="eastAsia" w:ascii="宋体" w:hAnsi="宋体" w:cs="宋体"/>
                <w:color w:val="000000"/>
                <w:sz w:val="22"/>
              </w:rPr>
              <w:t>资产总额</w:t>
            </w:r>
          </w:p>
        </w:tc>
        <w:tc>
          <w:tcPr>
            <w:tcW w:w="2835" w:type="dxa"/>
            <w:vAlign w:val="center"/>
          </w:tcPr>
          <w:p>
            <w:pPr>
              <w:spacing w:line="540" w:lineRule="exact"/>
              <w:jc w:val="center"/>
              <w:textAlignment w:val="center"/>
              <w:rPr>
                <w:rFonts w:ascii="宋体" w:hAnsi="宋体" w:cs="宋体"/>
                <w:color w:val="000000"/>
              </w:rPr>
            </w:pPr>
            <w:r>
              <w:rPr>
                <w:rFonts w:hint="eastAsia" w:ascii="宋体" w:hAnsi="宋体" w:cs="宋体"/>
                <w:color w:val="000000"/>
                <w:sz w:val="22"/>
              </w:rPr>
              <w:t>—</w:t>
            </w:r>
          </w:p>
        </w:tc>
        <w:tc>
          <w:tcPr>
            <w:tcW w:w="2835" w:type="dxa"/>
            <w:vAlign w:val="center"/>
          </w:tcPr>
          <w:p>
            <w:pPr>
              <w:spacing w:line="540" w:lineRule="exact"/>
              <w:jc w:val="right"/>
              <w:textAlignment w:val="center"/>
              <w:rPr>
                <w:rFonts w:hint="eastAsia" w:eastAsia="宋体"/>
                <w:lang w:eastAsia="zh-CN"/>
              </w:rPr>
            </w:pPr>
            <w:r>
              <w:rPr>
                <w:rFonts w:hint="eastAsia" w:ascii="宋体" w:hAnsi="宋体" w:cs="宋体"/>
                <w:color w:val="000000"/>
                <w:sz w:val="22"/>
              </w:rPr>
              <w:t>347</w:t>
            </w:r>
            <w:r>
              <w:rPr>
                <w:rFonts w:hint="eastAsia" w:ascii="宋体" w:hAnsi="宋体" w:eastAsia="宋体" w:cs="宋体"/>
                <w:color w:val="000000"/>
                <w:sz w:val="22"/>
                <w:lang w:val="en-US" w:eastAsia="zh-CN"/>
              </w:rPr>
              <w:t>.</w:t>
            </w:r>
            <w:r>
              <w:rPr>
                <w:rFonts w:hint="eastAsia" w:ascii="宋体" w:hAnsi="宋体" w:cs="宋体"/>
                <w:color w:val="000000"/>
                <w:sz w:val="22"/>
              </w:rPr>
              <w:t>0</w:t>
            </w:r>
            <w:r>
              <w:rPr>
                <w:rFonts w:hint="eastAsia" w:ascii="宋体" w:hAnsi="宋体" w:eastAsia="宋体" w:cs="宋体"/>
                <w:color w:val="000000"/>
                <w:sz w:val="22"/>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40" w:lineRule="exact"/>
              <w:textAlignment w:val="center"/>
              <w:rPr>
                <w:rFonts w:ascii="宋体" w:hAnsi="宋体" w:cs="宋体"/>
                <w:color w:val="000000"/>
              </w:rPr>
            </w:pPr>
            <w:r>
              <w:rPr>
                <w:rFonts w:hint="eastAsia" w:ascii="宋体" w:hAnsi="宋体" w:cs="宋体"/>
                <w:color w:val="000000"/>
                <w:sz w:val="22"/>
              </w:rPr>
              <w:t>一、流动资产</w:t>
            </w:r>
          </w:p>
        </w:tc>
        <w:tc>
          <w:tcPr>
            <w:tcW w:w="2835" w:type="dxa"/>
            <w:vAlign w:val="center"/>
          </w:tcPr>
          <w:p>
            <w:pPr>
              <w:spacing w:line="540" w:lineRule="exact"/>
              <w:jc w:val="center"/>
              <w:textAlignment w:val="center"/>
              <w:rPr>
                <w:rFonts w:ascii="宋体" w:hAnsi="宋体" w:cs="宋体"/>
                <w:color w:val="000000"/>
              </w:rPr>
            </w:pPr>
            <w:r>
              <w:rPr>
                <w:rFonts w:hint="eastAsia" w:ascii="宋体" w:hAnsi="宋体" w:cs="宋体"/>
                <w:color w:val="000000"/>
                <w:sz w:val="22"/>
              </w:rPr>
              <w:t>—</w:t>
            </w:r>
          </w:p>
        </w:tc>
        <w:tc>
          <w:tcPr>
            <w:tcW w:w="2835" w:type="dxa"/>
            <w:vAlign w:val="center"/>
          </w:tcPr>
          <w:p>
            <w:pPr>
              <w:spacing w:line="540" w:lineRule="exact"/>
              <w:jc w:val="right"/>
              <w:textAlignment w:val="center"/>
            </w:pPr>
            <w:r>
              <w:rPr>
                <w:rFonts w:hint="eastAsia" w:ascii="宋体" w:hAnsi="宋体" w:eastAsia="宋体" w:cs="宋体"/>
                <w:color w:val="000000"/>
                <w:sz w:val="22"/>
                <w:lang w:val="en-US" w:eastAsia="zh-CN"/>
              </w:rPr>
              <w:t>0.</w:t>
            </w:r>
            <w:r>
              <w:rPr>
                <w:rFonts w:hint="eastAsia" w:ascii="宋体" w:hAnsi="宋体" w:cs="宋体"/>
                <w:color w:val="000000"/>
                <w:sz w:val="22"/>
              </w:rPr>
              <w:t>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40" w:lineRule="exact"/>
              <w:textAlignment w:val="center"/>
              <w:rPr>
                <w:rFonts w:ascii="宋体" w:hAnsi="宋体" w:cs="宋体"/>
                <w:color w:val="000000"/>
              </w:rPr>
            </w:pPr>
            <w:r>
              <w:rPr>
                <w:rFonts w:hint="eastAsia" w:ascii="宋体" w:hAnsi="宋体" w:cs="宋体"/>
                <w:color w:val="000000"/>
                <w:sz w:val="22"/>
              </w:rPr>
              <w:t>二、固定资产</w:t>
            </w:r>
          </w:p>
        </w:tc>
        <w:tc>
          <w:tcPr>
            <w:tcW w:w="2835" w:type="dxa"/>
            <w:vAlign w:val="center"/>
          </w:tcPr>
          <w:p>
            <w:pPr>
              <w:spacing w:line="540" w:lineRule="exact"/>
              <w:jc w:val="center"/>
              <w:textAlignment w:val="center"/>
              <w:rPr>
                <w:rFonts w:ascii="宋体" w:hAnsi="宋体" w:cs="宋体"/>
                <w:color w:val="000000"/>
              </w:rPr>
            </w:pPr>
            <w:r>
              <w:rPr>
                <w:rFonts w:hint="eastAsia" w:ascii="宋体" w:hAnsi="宋体" w:cs="宋体"/>
                <w:color w:val="000000"/>
                <w:sz w:val="22"/>
              </w:rPr>
              <w:t>—</w:t>
            </w:r>
          </w:p>
        </w:tc>
        <w:tc>
          <w:tcPr>
            <w:tcW w:w="2835" w:type="dxa"/>
            <w:vAlign w:val="center"/>
          </w:tcPr>
          <w:p>
            <w:pPr>
              <w:spacing w:line="540" w:lineRule="exact"/>
              <w:jc w:val="right"/>
              <w:textAlignment w:val="center"/>
              <w:rPr>
                <w:rFonts w:hint="eastAsia" w:eastAsia="宋体"/>
                <w:lang w:eastAsia="zh-CN"/>
              </w:rPr>
            </w:pPr>
            <w:r>
              <w:rPr>
                <w:rFonts w:hint="eastAsia" w:ascii="宋体" w:hAnsi="宋体" w:cs="宋体"/>
                <w:color w:val="000000"/>
                <w:sz w:val="22"/>
              </w:rPr>
              <w:t>346</w:t>
            </w:r>
            <w:r>
              <w:rPr>
                <w:rFonts w:hint="eastAsia" w:ascii="宋体" w:hAnsi="宋体" w:eastAsia="宋体" w:cs="宋体"/>
                <w:color w:val="000000"/>
                <w:sz w:val="22"/>
                <w:lang w:val="en-US" w:eastAsia="zh-CN"/>
              </w:rPr>
              <w:t>.</w:t>
            </w:r>
            <w:r>
              <w:rPr>
                <w:rFonts w:hint="eastAsia" w:ascii="宋体" w:hAnsi="宋体" w:cs="宋体"/>
                <w:color w:val="000000"/>
                <w:sz w:val="22"/>
              </w:rPr>
              <w:t>4</w:t>
            </w:r>
            <w:r>
              <w:rPr>
                <w:rFonts w:hint="eastAsia" w:ascii="宋体" w:hAnsi="宋体" w:eastAsia="宋体" w:cs="宋体"/>
                <w:color w:val="000000"/>
                <w:sz w:val="22"/>
                <w:lang w:val="en-US" w:eastAsia="zh-CN"/>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40" w:lineRule="exact"/>
              <w:textAlignment w:val="center"/>
              <w:rPr>
                <w:rFonts w:ascii="宋体" w:hAnsi="宋体" w:cs="宋体"/>
                <w:color w:val="000000"/>
              </w:rPr>
            </w:pPr>
            <w:r>
              <w:rPr>
                <w:rFonts w:hint="eastAsia" w:ascii="宋体" w:hAnsi="宋体" w:cs="宋体"/>
                <w:color w:val="000000"/>
                <w:sz w:val="22"/>
              </w:rPr>
              <w:t xml:space="preserve">  （二）车辆（台、辆）</w:t>
            </w:r>
          </w:p>
        </w:tc>
        <w:tc>
          <w:tcPr>
            <w:tcW w:w="2835" w:type="dxa"/>
            <w:vAlign w:val="center"/>
          </w:tcPr>
          <w:p>
            <w:pPr>
              <w:spacing w:line="540" w:lineRule="exact"/>
              <w:jc w:val="right"/>
              <w:textAlignment w:val="center"/>
              <w:rPr>
                <w:rFonts w:ascii="宋体" w:hAnsi="宋体" w:cs="宋体"/>
                <w:color w:val="000000"/>
              </w:rPr>
            </w:pPr>
            <w:r>
              <w:rPr>
                <w:rFonts w:hint="eastAsia" w:ascii="宋体" w:hAnsi="宋体" w:cs="宋体"/>
                <w:color w:val="000000"/>
                <w:sz w:val="22"/>
              </w:rPr>
              <w:t>14</w:t>
            </w:r>
          </w:p>
        </w:tc>
        <w:tc>
          <w:tcPr>
            <w:tcW w:w="2835" w:type="dxa"/>
            <w:vAlign w:val="center"/>
          </w:tcPr>
          <w:p>
            <w:pPr>
              <w:spacing w:line="540" w:lineRule="exact"/>
              <w:jc w:val="right"/>
              <w:textAlignment w:val="center"/>
            </w:pPr>
            <w:r>
              <w:rPr>
                <w:rFonts w:hint="eastAsia" w:ascii="宋体" w:hAnsi="宋体" w:cs="宋体"/>
                <w:color w:val="000000"/>
                <w:sz w:val="22"/>
              </w:rPr>
              <w:t>82</w:t>
            </w:r>
            <w:r>
              <w:rPr>
                <w:rFonts w:hint="eastAsia" w:ascii="宋体" w:hAnsi="宋体" w:eastAsia="宋体" w:cs="宋体"/>
                <w:color w:val="000000"/>
                <w:sz w:val="22"/>
                <w:lang w:val="en-US" w:eastAsia="zh-CN"/>
              </w:rPr>
              <w:t>.</w:t>
            </w:r>
            <w:r>
              <w:rPr>
                <w:rFonts w:hint="eastAsia" w:ascii="宋体" w:hAnsi="宋体" w:cs="宋体"/>
                <w:color w:val="000000"/>
                <w:sz w:val="22"/>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40" w:lineRule="exact"/>
              <w:textAlignment w:val="center"/>
              <w:rPr>
                <w:rFonts w:ascii="宋体" w:hAnsi="宋体" w:cs="宋体"/>
                <w:color w:val="000000"/>
              </w:rPr>
            </w:pPr>
            <w:r>
              <w:rPr>
                <w:rFonts w:hint="eastAsia" w:ascii="宋体" w:hAnsi="宋体" w:cs="宋体"/>
                <w:color w:val="000000"/>
                <w:sz w:val="22"/>
              </w:rPr>
              <w:t xml:space="preserve">        1.轿车</w:t>
            </w:r>
          </w:p>
        </w:tc>
        <w:tc>
          <w:tcPr>
            <w:tcW w:w="2835" w:type="dxa"/>
            <w:vAlign w:val="center"/>
          </w:tcPr>
          <w:p>
            <w:pPr>
              <w:spacing w:line="540" w:lineRule="exact"/>
              <w:jc w:val="right"/>
              <w:textAlignment w:val="center"/>
              <w:rPr>
                <w:rFonts w:ascii="宋体" w:hAnsi="宋体" w:cs="宋体"/>
                <w:color w:val="000000"/>
              </w:rPr>
            </w:pPr>
            <w:r>
              <w:rPr>
                <w:rFonts w:hint="eastAsia" w:ascii="宋体" w:hAnsi="宋体" w:cs="宋体"/>
                <w:color w:val="000000"/>
                <w:sz w:val="22"/>
              </w:rPr>
              <w:t>13</w:t>
            </w:r>
          </w:p>
        </w:tc>
        <w:tc>
          <w:tcPr>
            <w:tcW w:w="2835" w:type="dxa"/>
            <w:vAlign w:val="center"/>
          </w:tcPr>
          <w:p>
            <w:pPr>
              <w:spacing w:line="540" w:lineRule="exact"/>
              <w:jc w:val="right"/>
              <w:textAlignment w:val="center"/>
            </w:pPr>
            <w:r>
              <w:rPr>
                <w:rFonts w:hint="eastAsia" w:ascii="宋体" w:hAnsi="宋体" w:cs="宋体"/>
                <w:color w:val="000000"/>
                <w:sz w:val="22"/>
              </w:rPr>
              <w:t>73</w:t>
            </w:r>
            <w:r>
              <w:rPr>
                <w:rFonts w:hint="eastAsia" w:ascii="宋体" w:hAnsi="宋体" w:eastAsia="宋体" w:cs="宋体"/>
                <w:color w:val="000000"/>
                <w:sz w:val="22"/>
                <w:lang w:val="en-US" w:eastAsia="zh-CN"/>
              </w:rPr>
              <w:t>.</w:t>
            </w:r>
            <w:r>
              <w:rPr>
                <w:rFonts w:hint="eastAsia" w:ascii="宋体" w:hAnsi="宋体" w:cs="宋体"/>
                <w:color w:val="000000"/>
                <w:sz w:val="22"/>
              </w:rPr>
              <w:t>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40" w:lineRule="exact"/>
              <w:ind w:firstLine="880" w:firstLineChars="400"/>
              <w:textAlignment w:val="center"/>
              <w:rPr>
                <w:rFonts w:ascii="宋体" w:hAnsi="宋体" w:cs="宋体"/>
                <w:color w:val="000000"/>
                <w:sz w:val="22"/>
              </w:rPr>
            </w:pPr>
            <w:r>
              <w:rPr>
                <w:rFonts w:hint="eastAsia" w:ascii="宋体" w:hAnsi="宋体" w:cs="宋体"/>
                <w:color w:val="000000"/>
                <w:sz w:val="22"/>
              </w:rPr>
              <w:t>2.小型客车</w:t>
            </w:r>
          </w:p>
        </w:tc>
        <w:tc>
          <w:tcPr>
            <w:tcW w:w="2835" w:type="dxa"/>
            <w:vAlign w:val="center"/>
          </w:tcPr>
          <w:p>
            <w:pPr>
              <w:spacing w:line="540" w:lineRule="exact"/>
              <w:jc w:val="right"/>
              <w:textAlignment w:val="center"/>
              <w:rPr>
                <w:rFonts w:ascii="宋体" w:hAnsi="宋体" w:cs="宋体"/>
                <w:color w:val="000000"/>
                <w:sz w:val="22"/>
              </w:rPr>
            </w:pPr>
            <w:r>
              <w:rPr>
                <w:rFonts w:hint="eastAsia" w:ascii="宋体" w:hAnsi="宋体" w:cs="宋体"/>
                <w:color w:val="000000"/>
                <w:sz w:val="22"/>
              </w:rPr>
              <w:t>1</w:t>
            </w:r>
          </w:p>
        </w:tc>
        <w:tc>
          <w:tcPr>
            <w:tcW w:w="2835" w:type="dxa"/>
            <w:vAlign w:val="center"/>
          </w:tcPr>
          <w:p>
            <w:pPr>
              <w:spacing w:line="540" w:lineRule="exact"/>
              <w:jc w:val="right"/>
              <w:textAlignment w:val="center"/>
              <w:rPr>
                <w:rFonts w:ascii="宋体" w:hAnsi="宋体" w:cs="宋体"/>
                <w:color w:val="000000"/>
                <w:sz w:val="22"/>
              </w:rPr>
            </w:pPr>
            <w:r>
              <w:rPr>
                <w:rFonts w:hint="eastAsia" w:ascii="宋体" w:hAnsi="宋体" w:cs="宋体"/>
                <w:color w:val="000000"/>
                <w:sz w:val="22"/>
              </w:rPr>
              <w:t>8</w:t>
            </w:r>
            <w:r>
              <w:rPr>
                <w:rFonts w:hint="eastAsia" w:ascii="宋体" w:hAnsi="宋体" w:eastAsia="宋体" w:cs="宋体"/>
                <w:color w:val="000000"/>
                <w:sz w:val="22"/>
                <w:lang w:val="en-US" w:eastAsia="zh-CN"/>
              </w:rPr>
              <w:t>.</w:t>
            </w:r>
            <w:r>
              <w:rPr>
                <w:rFonts w:hint="eastAsia" w:ascii="宋体" w:hAnsi="宋体" w:cs="宋体"/>
                <w:color w:val="000000"/>
                <w:sz w:val="22"/>
              </w:rPr>
              <w:t>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40" w:lineRule="exact"/>
              <w:textAlignment w:val="center"/>
              <w:rPr>
                <w:rFonts w:ascii="宋体" w:hAnsi="宋体" w:cs="宋体"/>
                <w:color w:val="000000"/>
              </w:rPr>
            </w:pPr>
            <w:r>
              <w:rPr>
                <w:rFonts w:hint="eastAsia" w:ascii="宋体" w:hAnsi="宋体" w:cs="宋体"/>
                <w:color w:val="000000"/>
                <w:sz w:val="22"/>
              </w:rPr>
              <w:t xml:space="preserve">  （四）其他固定资产</w:t>
            </w:r>
          </w:p>
        </w:tc>
        <w:tc>
          <w:tcPr>
            <w:tcW w:w="2835" w:type="dxa"/>
            <w:vAlign w:val="center"/>
          </w:tcPr>
          <w:p>
            <w:pPr>
              <w:spacing w:line="540" w:lineRule="exact"/>
              <w:jc w:val="center"/>
              <w:textAlignment w:val="center"/>
              <w:rPr>
                <w:rFonts w:ascii="宋体" w:hAnsi="宋体" w:cs="宋体"/>
                <w:color w:val="000000"/>
              </w:rPr>
            </w:pPr>
            <w:r>
              <w:rPr>
                <w:rFonts w:hint="eastAsia" w:ascii="宋体" w:hAnsi="宋体" w:cs="宋体"/>
                <w:color w:val="000000"/>
                <w:sz w:val="22"/>
              </w:rPr>
              <w:t>—</w:t>
            </w:r>
          </w:p>
        </w:tc>
        <w:tc>
          <w:tcPr>
            <w:tcW w:w="2835" w:type="dxa"/>
            <w:vAlign w:val="center"/>
          </w:tcPr>
          <w:p>
            <w:pPr>
              <w:spacing w:line="540" w:lineRule="exact"/>
              <w:jc w:val="right"/>
              <w:textAlignment w:val="center"/>
              <w:rPr>
                <w:rFonts w:hint="eastAsia" w:eastAsia="宋体"/>
                <w:lang w:eastAsia="zh-CN"/>
              </w:rPr>
            </w:pPr>
            <w:r>
              <w:rPr>
                <w:rFonts w:hint="eastAsia" w:ascii="宋体" w:hAnsi="宋体" w:cs="宋体"/>
                <w:color w:val="000000"/>
                <w:sz w:val="22"/>
              </w:rPr>
              <w:t>264</w:t>
            </w:r>
            <w:r>
              <w:rPr>
                <w:rFonts w:hint="eastAsia" w:ascii="宋体" w:hAnsi="宋体" w:eastAsia="宋体" w:cs="宋体"/>
                <w:color w:val="000000"/>
                <w:sz w:val="22"/>
                <w:lang w:val="en-US" w:eastAsia="zh-CN"/>
              </w:rPr>
              <w:t>.</w:t>
            </w:r>
            <w:r>
              <w:rPr>
                <w:rFonts w:hint="eastAsia" w:ascii="宋体" w:hAnsi="宋体" w:cs="宋体"/>
                <w:color w:val="000000"/>
                <w:sz w:val="22"/>
              </w:rPr>
              <w:t>2</w:t>
            </w:r>
            <w:r>
              <w:rPr>
                <w:rFonts w:hint="eastAsia" w:ascii="宋体" w:hAnsi="宋体" w:eastAsia="宋体" w:cs="宋体"/>
                <w:color w:val="000000"/>
                <w:sz w:val="22"/>
                <w:lang w:val="en-US" w:eastAsia="zh-CN"/>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spacing w:line="540" w:lineRule="exact"/>
              <w:textAlignment w:val="center"/>
              <w:rPr>
                <w:rFonts w:ascii="宋体" w:hAnsi="宋体" w:cs="宋体"/>
                <w:color w:val="000000"/>
              </w:rPr>
            </w:pPr>
            <w:r>
              <w:rPr>
                <w:rFonts w:hint="eastAsia" w:ascii="宋体" w:hAnsi="宋体" w:cs="宋体"/>
                <w:color w:val="000000"/>
                <w:sz w:val="22"/>
              </w:rPr>
              <w:t>五、无形资产</w:t>
            </w:r>
          </w:p>
        </w:tc>
        <w:tc>
          <w:tcPr>
            <w:tcW w:w="2835" w:type="dxa"/>
            <w:vAlign w:val="center"/>
          </w:tcPr>
          <w:p>
            <w:pPr>
              <w:spacing w:line="540" w:lineRule="exact"/>
              <w:jc w:val="center"/>
              <w:textAlignment w:val="center"/>
              <w:rPr>
                <w:rFonts w:ascii="宋体" w:hAnsi="宋体" w:cs="宋体"/>
                <w:color w:val="000000"/>
              </w:rPr>
            </w:pPr>
            <w:r>
              <w:rPr>
                <w:rFonts w:hint="eastAsia" w:ascii="宋体" w:hAnsi="宋体" w:cs="宋体"/>
                <w:color w:val="000000"/>
                <w:sz w:val="22"/>
              </w:rPr>
              <w:t>—</w:t>
            </w:r>
          </w:p>
        </w:tc>
        <w:tc>
          <w:tcPr>
            <w:tcW w:w="2835" w:type="dxa"/>
            <w:vAlign w:val="center"/>
          </w:tcPr>
          <w:p>
            <w:pPr>
              <w:spacing w:line="540" w:lineRule="exact"/>
              <w:jc w:val="right"/>
              <w:textAlignment w:val="center"/>
            </w:pPr>
            <w:r>
              <w:rPr>
                <w:rFonts w:hint="eastAsia" w:ascii="宋体" w:hAnsi="宋体" w:eastAsia="宋体" w:cs="宋体"/>
                <w:color w:val="000000"/>
                <w:sz w:val="22"/>
                <w:lang w:val="en-US" w:eastAsia="zh-CN"/>
              </w:rPr>
              <w:t>0.</w:t>
            </w:r>
            <w:r>
              <w:rPr>
                <w:rFonts w:hint="eastAsia" w:ascii="宋体" w:hAnsi="宋体" w:cs="宋体"/>
                <w:color w:val="000000"/>
                <w:sz w:val="22"/>
              </w:rPr>
              <w:t>23</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w:t>
      </w:r>
      <w:r>
        <w:rPr>
          <w:rFonts w:hint="eastAsia" w:eastAsia="方正仿宋_GBK"/>
          <w:color w:val="000000"/>
          <w:sz w:val="28"/>
          <w:lang w:val="en-US"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681944"/>
    <w:multiLevelType w:val="singleLevel"/>
    <w:tmpl w:val="2D681944"/>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N2RiNzNlODliM2ZiN2MzZWUzZTIwNTk1MGExOWIifQ=="/>
  </w:docVars>
  <w:rsids>
    <w:rsidRoot w:val="00216D8F"/>
    <w:rsid w:val="00140F40"/>
    <w:rsid w:val="00175F77"/>
    <w:rsid w:val="00216D8F"/>
    <w:rsid w:val="00592BCB"/>
    <w:rsid w:val="005B4A6E"/>
    <w:rsid w:val="00920350"/>
    <w:rsid w:val="00CB2A90"/>
    <w:rsid w:val="00CB6D29"/>
    <w:rsid w:val="085E53BC"/>
    <w:rsid w:val="08AF324E"/>
    <w:rsid w:val="09632337"/>
    <w:rsid w:val="12882781"/>
    <w:rsid w:val="1D8C44AF"/>
    <w:rsid w:val="2526429E"/>
    <w:rsid w:val="2BE7520B"/>
    <w:rsid w:val="2C0D531D"/>
    <w:rsid w:val="34E20A1A"/>
    <w:rsid w:val="350314C3"/>
    <w:rsid w:val="372B33C3"/>
    <w:rsid w:val="3D2565BB"/>
    <w:rsid w:val="3EFE4C60"/>
    <w:rsid w:val="45F17323"/>
    <w:rsid w:val="4649085A"/>
    <w:rsid w:val="4C15770B"/>
    <w:rsid w:val="59311CFC"/>
    <w:rsid w:val="5ADF3707"/>
    <w:rsid w:val="5D2260C3"/>
    <w:rsid w:val="60C74A21"/>
    <w:rsid w:val="70301846"/>
    <w:rsid w:val="749800C3"/>
    <w:rsid w:val="79723895"/>
    <w:rsid w:val="7E843A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nhideWhenUsed/>
    <w:uiPriority w:val="39"/>
    <w:pPr>
      <w:ind w:left="840" w:leftChars="400"/>
    </w:pPr>
  </w:style>
  <w:style w:type="paragraph" w:styleId="3">
    <w:name w:val="toc 2"/>
    <w:basedOn w:val="1"/>
    <w:next w:val="1"/>
    <w:unhideWhenUsed/>
    <w:qFormat/>
    <w:uiPriority w:val="39"/>
    <w:pPr>
      <w:ind w:left="420" w:leftChars="20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Hyperlink"/>
    <w:basedOn w:val="6"/>
    <w:unhideWhenUsed/>
    <w:qFormat/>
    <w:uiPriority w:val="99"/>
    <w:rPr>
      <w:color w:val="0563C1" w:themeColor="hyperlink"/>
      <w:u w:val="single"/>
    </w:r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0">
    <w:name w:val="TOC 2"/>
    <w:basedOn w:val="1"/>
    <w:qFormat/>
    <w:uiPriority w:val="0"/>
    <w:pPr>
      <w:ind w:left="240"/>
    </w:pPr>
  </w:style>
  <w:style w:type="paragraph" w:customStyle="1" w:styleId="31">
    <w:name w:val="TOC 3"/>
    <w:basedOn w:val="1"/>
    <w:qFormat/>
    <w:uiPriority w:val="0"/>
    <w:pPr>
      <w:ind w:left="480"/>
    </w:pPr>
  </w:style>
  <w:style w:type="paragraph" w:customStyle="1" w:styleId="32">
    <w:name w:val="TOC 4"/>
    <w:basedOn w:val="1"/>
    <w:qFormat/>
    <w:uiPriority w:val="0"/>
    <w:pPr>
      <w:ind w:left="720"/>
    </w:pPr>
  </w:style>
  <w:style w:type="paragraph" w:customStyle="1" w:styleId="33">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2022-02-21T11:32:06Z</dcterms:created>
  <dcterms:modified xsi:type="dcterms:W3CDTF">2022-02-21T03:32:06Z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2022-02-21T11:32:02Z</dcterms:created>
  <dcterms:modified xsi:type="dcterms:W3CDTF">2022-02-21T03:32:02Z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2022-02-21T11:32:02Z</dcterms:created>
  <dcterms:modified xsi:type="dcterms:W3CDTF">2022-02-21T03:32:02Z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2022-02-21T11:32:02Z</dcterms:created>
  <dcterms:modified xsi:type="dcterms:W3CDTF">2022-02-21T03:32:02Z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2022-02-21T11:32:02Z</dcterms:created>
  <dcterms:modified xsi:type="dcterms:W3CDTF">2022-02-21T03:32:02Z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2022-02-21T11:32:05Z</dcterms:created>
  <dcterms:modified xsi:type="dcterms:W3CDTF">2022-02-21T03:32:05Z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2022-02-21T11:32:04Z</dcterms:created>
  <dcterms:modified xsi:type="dcterms:W3CDTF">2022-02-21T03:32:04Z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2022-02-21T11:32:02Z</dcterms:created>
  <dcterms:modified xsi:type="dcterms:W3CDTF">2022-02-21T03:32:02Z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2022-02-21T11:32:03Z</dcterms:created>
  <dcterms:modified xsi:type="dcterms:W3CDTF">2022-02-21T03:32:03Z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2022-02-21T11:32:05Z</dcterms:created>
  <dcterms:modified xsi:type="dcterms:W3CDTF">2022-02-21T03:32:05Z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2022-02-21T11:32:02Z</dcterms:created>
  <dcterms:modified xsi:type="dcterms:W3CDTF">2022-02-21T03:32:02Z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2022-02-21T11:32:05Z</dcterms:created>
  <dcterms:modified xsi:type="dcterms:W3CDTF">2022-02-21T03:32:05Z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2022-02-21T11:32:05Z</dcterms:created>
  <dcterms:modified xsi:type="dcterms:W3CDTF">2022-02-21T03:32:05Z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2022-02-21T11:32:05Z</dcterms:created>
  <dcterms:modified xsi:type="dcterms:W3CDTF">2022-02-21T03:32:05Z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2022-02-21T11:32:02Z</dcterms:created>
  <dcterms:modified xsi:type="dcterms:W3CDTF">2022-02-21T03:32:02Z</dcterms:modified>
</cp:coreProperties>
</file>

<file path=customXml/itemProps1.xml><?xml version="1.0" encoding="utf-8"?>
<ds:datastoreItem xmlns:ds="http://schemas.openxmlformats.org/officeDocument/2006/customXml" ds:itemID="{D004BEF0-AFD7-44CC-B297-217E0B645C92}">
  <ds:schemaRefs/>
</ds:datastoreItem>
</file>

<file path=customXml/itemProps10.xml><?xml version="1.0" encoding="utf-8"?>
<ds:datastoreItem xmlns:ds="http://schemas.openxmlformats.org/officeDocument/2006/customXml" ds:itemID="{A536F2EE-08B6-444F-9629-D63169E19DB4}">
  <ds:schemaRefs/>
</ds:datastoreItem>
</file>

<file path=customXml/itemProps11.xml><?xml version="1.0" encoding="utf-8"?>
<ds:datastoreItem xmlns:ds="http://schemas.openxmlformats.org/officeDocument/2006/customXml" ds:itemID="{A6200929-AE4B-457C-9B87-9269200E7EB0}">
  <ds:schemaRefs/>
</ds:datastoreItem>
</file>

<file path=customXml/itemProps12.xml><?xml version="1.0" encoding="utf-8"?>
<ds:datastoreItem xmlns:ds="http://schemas.openxmlformats.org/officeDocument/2006/customXml" ds:itemID="{224984D9-6002-4C3A-946B-99BB02D36290}">
  <ds:schemaRefs/>
</ds:datastoreItem>
</file>

<file path=customXml/itemProps13.xml><?xml version="1.0" encoding="utf-8"?>
<ds:datastoreItem xmlns:ds="http://schemas.openxmlformats.org/officeDocument/2006/customXml" ds:itemID="{B2F87D51-70F9-4732-A6C6-F3EAAFCDD04E}">
  <ds:schemaRefs/>
</ds:datastoreItem>
</file>

<file path=customXml/itemProps14.xml><?xml version="1.0" encoding="utf-8"?>
<ds:datastoreItem xmlns:ds="http://schemas.openxmlformats.org/officeDocument/2006/customXml" ds:itemID="{43061B78-34D9-4723-B3DA-9A8009E629A8}">
  <ds:schemaRefs/>
</ds:datastoreItem>
</file>

<file path=customXml/itemProps15.xml><?xml version="1.0" encoding="utf-8"?>
<ds:datastoreItem xmlns:ds="http://schemas.openxmlformats.org/officeDocument/2006/customXml" ds:itemID="{F5171850-F058-45D6-BDB6-6D987278FBE7}">
  <ds:schemaRefs/>
</ds:datastoreItem>
</file>

<file path=customXml/itemProps16.xml><?xml version="1.0" encoding="utf-8"?>
<ds:datastoreItem xmlns:ds="http://schemas.openxmlformats.org/officeDocument/2006/customXml" ds:itemID="{DED6FB43-511A-46C4-A3EC-CC9DB511B8FA}">
  <ds:schemaRefs/>
</ds:datastoreItem>
</file>

<file path=customXml/itemProps17.xml><?xml version="1.0" encoding="utf-8"?>
<ds:datastoreItem xmlns:ds="http://schemas.openxmlformats.org/officeDocument/2006/customXml" ds:itemID="{6C041EB1-B0CC-44FE-AA7B-4F2449FA8BDA}">
  <ds:schemaRefs/>
</ds:datastoreItem>
</file>

<file path=customXml/itemProps18.xml><?xml version="1.0" encoding="utf-8"?>
<ds:datastoreItem xmlns:ds="http://schemas.openxmlformats.org/officeDocument/2006/customXml" ds:itemID="{8410DB97-FFC1-4452-8F9C-6EE9B7041805}">
  <ds:schemaRefs/>
</ds:datastoreItem>
</file>

<file path=customXml/itemProps19.xml><?xml version="1.0" encoding="utf-8"?>
<ds:datastoreItem xmlns:ds="http://schemas.openxmlformats.org/officeDocument/2006/customXml" ds:itemID="{430E78B6-6CDC-4F28-BD9E-A0DA22E3CC53}">
  <ds:schemaRefs/>
</ds:datastoreItem>
</file>

<file path=customXml/itemProps2.xml><?xml version="1.0" encoding="utf-8"?>
<ds:datastoreItem xmlns:ds="http://schemas.openxmlformats.org/officeDocument/2006/customXml" ds:itemID="{18ED13FF-D829-4941-AC20-C59D9AEBB7C3}">
  <ds:schemaRefs/>
</ds:datastoreItem>
</file>

<file path=customXml/itemProps20.xml><?xml version="1.0" encoding="utf-8"?>
<ds:datastoreItem xmlns:ds="http://schemas.openxmlformats.org/officeDocument/2006/customXml" ds:itemID="{70533747-002A-4F53-B34D-6E0032E25087}">
  <ds:schemaRefs/>
</ds:datastoreItem>
</file>

<file path=customXml/itemProps21.xml><?xml version="1.0" encoding="utf-8"?>
<ds:datastoreItem xmlns:ds="http://schemas.openxmlformats.org/officeDocument/2006/customXml" ds:itemID="{911729A0-9C1B-4A68-90F6-F64B196C7B37}">
  <ds:schemaRefs/>
</ds:datastoreItem>
</file>

<file path=customXml/itemProps22.xml><?xml version="1.0" encoding="utf-8"?>
<ds:datastoreItem xmlns:ds="http://schemas.openxmlformats.org/officeDocument/2006/customXml" ds:itemID="{CC290EC5-3043-4DCB-8DBA-4EE7897C1336}">
  <ds:schemaRefs/>
</ds:datastoreItem>
</file>

<file path=customXml/itemProps23.xml><?xml version="1.0" encoding="utf-8"?>
<ds:datastoreItem xmlns:ds="http://schemas.openxmlformats.org/officeDocument/2006/customXml" ds:itemID="{CC6618AC-1F85-4CEE-9976-B6B5E356D7A3}">
  <ds:schemaRefs/>
</ds:datastoreItem>
</file>

<file path=customXml/itemProps24.xml><?xml version="1.0" encoding="utf-8"?>
<ds:datastoreItem xmlns:ds="http://schemas.openxmlformats.org/officeDocument/2006/customXml" ds:itemID="{E0954760-E166-40C6-806A-443B3FE4225C}">
  <ds:schemaRefs/>
</ds:datastoreItem>
</file>

<file path=customXml/itemProps25.xml><?xml version="1.0" encoding="utf-8"?>
<ds:datastoreItem xmlns:ds="http://schemas.openxmlformats.org/officeDocument/2006/customXml" ds:itemID="{475722F4-A68F-44CF-BA0E-6A028F8A9CE3}">
  <ds:schemaRefs/>
</ds:datastoreItem>
</file>

<file path=customXml/itemProps26.xml><?xml version="1.0" encoding="utf-8"?>
<ds:datastoreItem xmlns:ds="http://schemas.openxmlformats.org/officeDocument/2006/customXml" ds:itemID="{98E2B27E-B08A-445E-8A38-567FA73B8CFD}">
  <ds:schemaRefs/>
</ds:datastoreItem>
</file>

<file path=customXml/itemProps27.xml><?xml version="1.0" encoding="utf-8"?>
<ds:datastoreItem xmlns:ds="http://schemas.openxmlformats.org/officeDocument/2006/customXml" ds:itemID="{2B5D486B-EB09-4374-8451-FB34FEDBD385}">
  <ds:schemaRefs/>
</ds:datastoreItem>
</file>

<file path=customXml/itemProps28.xml><?xml version="1.0" encoding="utf-8"?>
<ds:datastoreItem xmlns:ds="http://schemas.openxmlformats.org/officeDocument/2006/customXml" ds:itemID="{C151F16C-4852-4B84-B6E1-5638CAD5F356}">
  <ds:schemaRefs/>
</ds:datastoreItem>
</file>

<file path=customXml/itemProps29.xml><?xml version="1.0" encoding="utf-8"?>
<ds:datastoreItem xmlns:ds="http://schemas.openxmlformats.org/officeDocument/2006/customXml" ds:itemID="{EF6208F9-F449-40F8-86F0-C5ACD045C2CB}">
  <ds:schemaRefs/>
</ds:datastoreItem>
</file>

<file path=customXml/itemProps3.xml><?xml version="1.0" encoding="utf-8"?>
<ds:datastoreItem xmlns:ds="http://schemas.openxmlformats.org/officeDocument/2006/customXml" ds:itemID="{31DE9FEA-FB39-460F-82BB-BF34AD5B65D1}">
  <ds:schemaRefs/>
</ds:datastoreItem>
</file>

<file path=customXml/itemProps30.xml><?xml version="1.0" encoding="utf-8"?>
<ds:datastoreItem xmlns:ds="http://schemas.openxmlformats.org/officeDocument/2006/customXml" ds:itemID="{C09E5ADE-1E15-4E97-90A1-53978BD59720}">
  <ds:schemaRefs/>
</ds:datastoreItem>
</file>

<file path=customXml/itemProps4.xml><?xml version="1.0" encoding="utf-8"?>
<ds:datastoreItem xmlns:ds="http://schemas.openxmlformats.org/officeDocument/2006/customXml" ds:itemID="{6BF3954E-6801-4551-9803-0883180DEB75}">
  <ds:schemaRefs/>
</ds:datastoreItem>
</file>

<file path=customXml/itemProps5.xml><?xml version="1.0" encoding="utf-8"?>
<ds:datastoreItem xmlns:ds="http://schemas.openxmlformats.org/officeDocument/2006/customXml" ds:itemID="{CE2D96C7-A83F-4F2D-B7CE-8F0CCF2E47D1}">
  <ds:schemaRefs/>
</ds:datastoreItem>
</file>

<file path=customXml/itemProps6.xml><?xml version="1.0" encoding="utf-8"?>
<ds:datastoreItem xmlns:ds="http://schemas.openxmlformats.org/officeDocument/2006/customXml" ds:itemID="{BD275DEE-EB1B-4DB0-ADD2-038DCDFC74BC}">
  <ds:schemaRefs/>
</ds:datastoreItem>
</file>

<file path=customXml/itemProps7.xml><?xml version="1.0" encoding="utf-8"?>
<ds:datastoreItem xmlns:ds="http://schemas.openxmlformats.org/officeDocument/2006/customXml" ds:itemID="{65849D92-DEC7-4B7F-B73E-4820EFDB052D}">
  <ds:schemaRefs/>
</ds:datastoreItem>
</file>

<file path=customXml/itemProps8.xml><?xml version="1.0" encoding="utf-8"?>
<ds:datastoreItem xmlns:ds="http://schemas.openxmlformats.org/officeDocument/2006/customXml" ds:itemID="{71D4418F-FED3-4165-AF8F-914C75997925}">
  <ds:schemaRefs/>
</ds:datastoreItem>
</file>

<file path=customXml/itemProps9.xml><?xml version="1.0" encoding="utf-8"?>
<ds:datastoreItem xmlns:ds="http://schemas.openxmlformats.org/officeDocument/2006/customXml" ds:itemID="{9C0F4F37-ABBB-4950-BC85-C512F8CCE10F}">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13544</Words>
  <Characters>15272</Characters>
  <Lines>134</Lines>
  <Paragraphs>37</Paragraphs>
  <TotalTime>108</TotalTime>
  <ScaleCrop>false</ScaleCrop>
  <LinksUpToDate>false</LinksUpToDate>
  <CharactersWithSpaces>15465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2022-02-21T08:30:00Z</dcterms:created>
  <dc:creator>Administrator</dc:creator>
  <cp:lastModifiedBy>Administrator</cp:lastModifiedBy>
  <dcterms:modified xsi:type="dcterms:W3CDTF">2023-07-28T07:14:28Z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6FD0A8862766484B9E07196E05B500D3_13</vt:lpwstr>
  </property>
</Properties>
</file>